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48D1CB" w14:textId="1CAE3C23" w:rsidR="00E416E1" w:rsidRDefault="00A46372" w:rsidP="00AF4967">
      <w:pPr>
        <w:spacing w:after="0" w:line="240" w:lineRule="auto"/>
        <w:rPr>
          <w:rFonts w:asciiTheme="minorHAnsi" w:hAnsiTheme="minorHAnsi" w:cstheme="minorHAnsi"/>
          <w:sz w:val="22"/>
        </w:rPr>
      </w:pPr>
      <w:bookmarkStart w:id="1" w:name="_GoBack"/>
      <w:bookmarkEnd w:id="1"/>
      <w:r>
        <w:rPr>
          <w:rFonts w:asciiTheme="minorHAnsi" w:hAnsiTheme="minorHAnsi" w:cstheme="minorHAnsi"/>
          <w:sz w:val="22"/>
        </w:rPr>
        <w:t xml:space="preserve">Bologna </w:t>
      </w:r>
      <w:r w:rsidR="00E416E1">
        <w:rPr>
          <w:rFonts w:asciiTheme="minorHAnsi" w:hAnsiTheme="minorHAnsi" w:cstheme="minorHAnsi"/>
          <w:sz w:val="22"/>
        </w:rPr>
        <w:t>, 17 ottobre 2022</w:t>
      </w:r>
      <w:r w:rsidR="00E416E1">
        <w:rPr>
          <w:rFonts w:asciiTheme="minorHAnsi" w:hAnsiTheme="minorHAnsi" w:cstheme="minorHAnsi"/>
          <w:sz w:val="22"/>
        </w:rPr>
        <w:tab/>
      </w:r>
      <w:r w:rsidR="00E416E1">
        <w:rPr>
          <w:rFonts w:asciiTheme="minorHAnsi" w:hAnsiTheme="minorHAnsi" w:cstheme="minorHAnsi"/>
          <w:sz w:val="22"/>
        </w:rPr>
        <w:tab/>
      </w:r>
      <w:r w:rsidR="00E416E1">
        <w:rPr>
          <w:rFonts w:asciiTheme="minorHAnsi" w:hAnsiTheme="minorHAnsi" w:cstheme="minorHAnsi"/>
          <w:sz w:val="22"/>
        </w:rPr>
        <w:tab/>
      </w:r>
      <w:r w:rsidR="00E416E1">
        <w:rPr>
          <w:rFonts w:asciiTheme="minorHAnsi" w:hAnsiTheme="minorHAnsi" w:cstheme="minorHAnsi"/>
          <w:sz w:val="22"/>
        </w:rPr>
        <w:tab/>
      </w:r>
      <w:r w:rsidR="00E416E1">
        <w:rPr>
          <w:rFonts w:asciiTheme="minorHAnsi" w:hAnsiTheme="minorHAnsi" w:cstheme="minorHAnsi"/>
          <w:sz w:val="22"/>
        </w:rPr>
        <w:tab/>
      </w:r>
      <w:r w:rsidR="00E416E1">
        <w:rPr>
          <w:rFonts w:asciiTheme="minorHAnsi" w:hAnsiTheme="minorHAnsi" w:cstheme="minorHAnsi"/>
          <w:sz w:val="22"/>
        </w:rPr>
        <w:tab/>
      </w:r>
      <w:r w:rsidR="00E416E1">
        <w:rPr>
          <w:rFonts w:asciiTheme="minorHAnsi" w:hAnsiTheme="minorHAnsi" w:cstheme="minorHAnsi"/>
          <w:sz w:val="22"/>
        </w:rPr>
        <w:tab/>
      </w:r>
      <w:r w:rsidR="00E416E1">
        <w:rPr>
          <w:rFonts w:asciiTheme="minorHAnsi" w:hAnsiTheme="minorHAnsi" w:cstheme="minorHAnsi"/>
          <w:sz w:val="22"/>
        </w:rPr>
        <w:tab/>
        <w:t>Comunicato Stampa</w:t>
      </w:r>
    </w:p>
    <w:p w14:paraId="6FD614B7" w14:textId="77777777" w:rsidR="00AF4967" w:rsidRDefault="00AF4967" w:rsidP="00DD0581">
      <w:pPr>
        <w:pStyle w:val="Titolo1"/>
      </w:pPr>
    </w:p>
    <w:p w14:paraId="54A50F11" w14:textId="0E1BD3E1" w:rsidR="00E416E1" w:rsidRPr="00DD0581" w:rsidRDefault="00E416E1" w:rsidP="00DD0581">
      <w:pPr>
        <w:pStyle w:val="Titolo1"/>
        <w:rPr>
          <w:rStyle w:val="A3"/>
          <w:rFonts w:asciiTheme="minorHAnsi" w:hAnsiTheme="minorHAnsi" w:cstheme="minorHAnsi"/>
          <w:b/>
          <w:bCs w:val="0"/>
          <w:sz w:val="28"/>
          <w:szCs w:val="24"/>
        </w:rPr>
      </w:pPr>
      <w:proofErr w:type="spellStart"/>
      <w:r w:rsidRPr="00DD0581">
        <w:t>Mal</w:t>
      </w:r>
      <w:r w:rsidR="00C513D1" w:rsidRPr="00DD0581">
        <w:t>’</w:t>
      </w:r>
      <w:r w:rsidRPr="00DD0581">
        <w:t>aria</w:t>
      </w:r>
      <w:proofErr w:type="spellEnd"/>
      <w:r w:rsidRPr="00DD0581">
        <w:t xml:space="preserve"> 2022 – edizione autunnale.</w:t>
      </w:r>
      <w:r w:rsidRPr="00DD0581">
        <w:rPr>
          <w:bCs/>
        </w:rPr>
        <w:t xml:space="preserve"> </w:t>
      </w:r>
      <w:r w:rsidRPr="00DD0581">
        <w:rPr>
          <w:rStyle w:val="A3"/>
          <w:rFonts w:asciiTheme="minorHAnsi" w:hAnsiTheme="minorHAnsi" w:cstheme="minorHAnsi"/>
          <w:b/>
          <w:bCs w:val="0"/>
          <w:sz w:val="28"/>
          <w:szCs w:val="24"/>
        </w:rPr>
        <w:t>Verso città mobilità emissioni zero</w:t>
      </w:r>
    </w:p>
    <w:p w14:paraId="5B3FF377" w14:textId="77777777" w:rsidR="00E416E1" w:rsidRPr="005743BE" w:rsidRDefault="00E416E1" w:rsidP="00AF4967">
      <w:pPr>
        <w:spacing w:after="0" w:line="240" w:lineRule="auto"/>
        <w:rPr>
          <w:sz w:val="22"/>
        </w:rPr>
      </w:pPr>
    </w:p>
    <w:p w14:paraId="78C1DC4B" w14:textId="77777777" w:rsidR="00885C26" w:rsidRPr="00DD0581" w:rsidRDefault="00E416E1" w:rsidP="00AF4967">
      <w:pPr>
        <w:spacing w:after="0" w:line="240" w:lineRule="auto"/>
        <w:jc w:val="center"/>
        <w:rPr>
          <w:rFonts w:asciiTheme="minorHAnsi" w:hAnsiTheme="minorHAnsi" w:cstheme="minorHAnsi"/>
          <w:b/>
          <w:bCs/>
          <w:szCs w:val="24"/>
        </w:rPr>
      </w:pPr>
      <w:r w:rsidRPr="00DD0581">
        <w:rPr>
          <w:rFonts w:asciiTheme="minorHAnsi" w:hAnsiTheme="minorHAnsi" w:cstheme="minorHAnsi"/>
          <w:b/>
          <w:bCs/>
          <w:szCs w:val="24"/>
        </w:rPr>
        <w:t>Allerta smog</w:t>
      </w:r>
      <w:r w:rsidR="005743BE" w:rsidRPr="00DD0581">
        <w:rPr>
          <w:rFonts w:asciiTheme="minorHAnsi" w:hAnsiTheme="minorHAnsi" w:cstheme="minorHAnsi"/>
          <w:b/>
          <w:bCs/>
          <w:szCs w:val="24"/>
        </w:rPr>
        <w:t xml:space="preserve"> nelle 13 città italiane al centro della campagna </w:t>
      </w:r>
      <w:proofErr w:type="spellStart"/>
      <w:r w:rsidR="005743BE" w:rsidRPr="00DD0581">
        <w:rPr>
          <w:rFonts w:asciiTheme="minorHAnsi" w:hAnsiTheme="minorHAnsi" w:cstheme="minorHAnsi"/>
          <w:b/>
          <w:bCs/>
          <w:szCs w:val="24"/>
        </w:rPr>
        <w:t>Clean</w:t>
      </w:r>
      <w:proofErr w:type="spellEnd"/>
      <w:r w:rsidR="005743BE" w:rsidRPr="00DD0581">
        <w:rPr>
          <w:rFonts w:asciiTheme="minorHAnsi" w:hAnsiTheme="minorHAnsi" w:cstheme="minorHAnsi"/>
          <w:b/>
          <w:bCs/>
          <w:szCs w:val="24"/>
        </w:rPr>
        <w:t xml:space="preserve"> </w:t>
      </w:r>
      <w:proofErr w:type="spellStart"/>
      <w:r w:rsidR="005743BE" w:rsidRPr="00DD0581">
        <w:rPr>
          <w:rFonts w:asciiTheme="minorHAnsi" w:hAnsiTheme="minorHAnsi" w:cstheme="minorHAnsi"/>
          <w:b/>
          <w:bCs/>
          <w:szCs w:val="24"/>
        </w:rPr>
        <w:t>Cities</w:t>
      </w:r>
      <w:proofErr w:type="spellEnd"/>
      <w:r w:rsidRPr="00DD0581">
        <w:rPr>
          <w:rFonts w:asciiTheme="minorHAnsi" w:hAnsiTheme="minorHAnsi" w:cstheme="minorHAnsi"/>
          <w:b/>
          <w:bCs/>
          <w:szCs w:val="24"/>
        </w:rPr>
        <w:t xml:space="preserve">: </w:t>
      </w:r>
    </w:p>
    <w:p w14:paraId="702435AE" w14:textId="36F8CEA6" w:rsidR="00455613" w:rsidRDefault="001D057B" w:rsidP="00455613">
      <w:pPr>
        <w:spacing w:after="0" w:line="240" w:lineRule="auto"/>
        <w:jc w:val="center"/>
        <w:rPr>
          <w:rFonts w:asciiTheme="minorHAnsi" w:hAnsiTheme="minorHAnsi" w:cstheme="minorHAnsi"/>
          <w:b/>
          <w:bCs/>
          <w:szCs w:val="24"/>
        </w:rPr>
      </w:pPr>
      <w:r w:rsidRPr="00DD0581">
        <w:rPr>
          <w:rFonts w:asciiTheme="minorHAnsi" w:hAnsiTheme="minorHAnsi" w:cstheme="minorHAnsi"/>
          <w:b/>
          <w:bCs/>
          <w:szCs w:val="24"/>
        </w:rPr>
        <w:t xml:space="preserve">da gennaio a </w:t>
      </w:r>
      <w:r w:rsidR="004C711A" w:rsidRPr="00DD0581">
        <w:rPr>
          <w:rFonts w:asciiTheme="minorHAnsi" w:hAnsiTheme="minorHAnsi" w:cstheme="minorHAnsi"/>
          <w:b/>
          <w:bCs/>
          <w:szCs w:val="24"/>
        </w:rPr>
        <w:t xml:space="preserve">inizio </w:t>
      </w:r>
      <w:r w:rsidRPr="00DD0581">
        <w:rPr>
          <w:rFonts w:asciiTheme="minorHAnsi" w:hAnsiTheme="minorHAnsi" w:cstheme="minorHAnsi"/>
          <w:b/>
          <w:bCs/>
          <w:szCs w:val="24"/>
        </w:rPr>
        <w:t>ottobre 2022</w:t>
      </w:r>
      <w:r w:rsidR="00AB6B6A">
        <w:rPr>
          <w:rFonts w:asciiTheme="minorHAnsi" w:hAnsiTheme="minorHAnsi" w:cstheme="minorHAnsi"/>
          <w:b/>
          <w:bCs/>
          <w:szCs w:val="24"/>
        </w:rPr>
        <w:t xml:space="preserve"> </w:t>
      </w:r>
      <w:r w:rsidR="00E416E1" w:rsidRPr="00DD0581">
        <w:rPr>
          <w:rFonts w:asciiTheme="minorHAnsi" w:hAnsiTheme="minorHAnsi" w:cstheme="minorHAnsi"/>
          <w:b/>
          <w:bCs/>
          <w:szCs w:val="24"/>
        </w:rPr>
        <w:t>codice r</w:t>
      </w:r>
      <w:r w:rsidR="00E62EE5" w:rsidRPr="00DD0581">
        <w:rPr>
          <w:rFonts w:asciiTheme="minorHAnsi" w:hAnsiTheme="minorHAnsi" w:cstheme="minorHAnsi"/>
          <w:b/>
          <w:bCs/>
          <w:szCs w:val="24"/>
        </w:rPr>
        <w:t>osso per Torino, Milano, Padova</w:t>
      </w:r>
      <w:r w:rsidR="00885C26" w:rsidRPr="00DD0581">
        <w:rPr>
          <w:rFonts w:asciiTheme="minorHAnsi" w:hAnsiTheme="minorHAnsi" w:cstheme="minorHAnsi"/>
          <w:b/>
          <w:bCs/>
          <w:szCs w:val="24"/>
        </w:rPr>
        <w:t xml:space="preserve">. </w:t>
      </w:r>
      <w:r w:rsidR="00E416E1" w:rsidRPr="00DD0581">
        <w:rPr>
          <w:rFonts w:asciiTheme="minorHAnsi" w:hAnsiTheme="minorHAnsi" w:cstheme="minorHAnsi"/>
          <w:b/>
          <w:bCs/>
          <w:szCs w:val="24"/>
        </w:rPr>
        <w:t xml:space="preserve">Giallo per Parma, Bergamo, Roma e Bologna. </w:t>
      </w:r>
    </w:p>
    <w:p w14:paraId="05B3AADC" w14:textId="00A25F07" w:rsidR="008143A2" w:rsidRPr="00DD0581" w:rsidRDefault="00E416E1" w:rsidP="00455613">
      <w:pPr>
        <w:spacing w:after="0" w:line="240" w:lineRule="auto"/>
        <w:jc w:val="center"/>
        <w:rPr>
          <w:rFonts w:asciiTheme="minorHAnsi" w:hAnsiTheme="minorHAnsi" w:cstheme="minorHAnsi"/>
          <w:b/>
          <w:bCs/>
          <w:szCs w:val="24"/>
        </w:rPr>
      </w:pPr>
      <w:r w:rsidRPr="00DD0581">
        <w:rPr>
          <w:rFonts w:asciiTheme="minorHAnsi" w:hAnsiTheme="minorHAnsi" w:cstheme="minorHAnsi"/>
          <w:b/>
          <w:bCs/>
          <w:szCs w:val="24"/>
        </w:rPr>
        <w:t xml:space="preserve">Nessuna città </w:t>
      </w:r>
      <w:r w:rsidR="008143A2" w:rsidRPr="00DD0581">
        <w:rPr>
          <w:rFonts w:asciiTheme="minorHAnsi" w:hAnsiTheme="minorHAnsi" w:cstheme="minorHAnsi"/>
          <w:b/>
          <w:bCs/>
          <w:szCs w:val="24"/>
        </w:rPr>
        <w:t>rispetta i valori suggeriti dall’OMS</w:t>
      </w:r>
    </w:p>
    <w:p w14:paraId="760E1037" w14:textId="77777777" w:rsidR="00E416E1" w:rsidRPr="00DD0581" w:rsidRDefault="00E416E1" w:rsidP="00AF4967">
      <w:pPr>
        <w:spacing w:after="0" w:line="240" w:lineRule="auto"/>
        <w:jc w:val="center"/>
        <w:rPr>
          <w:rFonts w:asciiTheme="minorHAnsi" w:hAnsiTheme="minorHAnsi" w:cstheme="minorHAnsi"/>
          <w:b/>
          <w:bCs/>
          <w:szCs w:val="24"/>
        </w:rPr>
      </w:pPr>
    </w:p>
    <w:p w14:paraId="2C781178" w14:textId="320E5BE7" w:rsidR="00E351C5" w:rsidRDefault="00E351C5" w:rsidP="00E351C5">
      <w:pPr>
        <w:spacing w:after="0" w:line="240" w:lineRule="auto"/>
        <w:jc w:val="center"/>
        <w:rPr>
          <w:rFonts w:asciiTheme="minorHAnsi" w:hAnsiTheme="minorHAnsi" w:cstheme="minorHAnsi"/>
          <w:b/>
          <w:bCs/>
          <w:szCs w:val="24"/>
        </w:rPr>
      </w:pPr>
      <w:r w:rsidRPr="00E351C5">
        <w:rPr>
          <w:rFonts w:asciiTheme="minorHAnsi" w:hAnsiTheme="minorHAnsi" w:cstheme="minorHAnsi"/>
          <w:b/>
          <w:bCs/>
          <w:szCs w:val="24"/>
        </w:rPr>
        <w:t>Cartellino giallo per Bologna e Parma: pericolosamente vicine alla soglia delle 35 giornate di sforamento consentite dei limiti PM10</w:t>
      </w:r>
      <w:r>
        <w:rPr>
          <w:rFonts w:asciiTheme="minorHAnsi" w:hAnsiTheme="minorHAnsi" w:cstheme="minorHAnsi"/>
          <w:szCs w:val="24"/>
        </w:rPr>
        <w:t xml:space="preserve">, </w:t>
      </w:r>
      <w:r w:rsidRPr="00E351C5">
        <w:rPr>
          <w:rFonts w:asciiTheme="minorHAnsi" w:hAnsiTheme="minorHAnsi" w:cstheme="minorHAnsi"/>
          <w:b/>
          <w:bCs/>
          <w:szCs w:val="24"/>
        </w:rPr>
        <w:t>con 17 sforamenti per Bologna e 25 per Parma</w:t>
      </w:r>
      <w:r>
        <w:rPr>
          <w:rFonts w:asciiTheme="minorHAnsi" w:hAnsiTheme="minorHAnsi" w:cstheme="minorHAnsi"/>
          <w:b/>
          <w:bCs/>
          <w:szCs w:val="24"/>
        </w:rPr>
        <w:t>. Allarmante anche la situazione PM2.5, dove i valori rilevati eccedono del 200% la soglia consigliata dall’OMS</w:t>
      </w:r>
    </w:p>
    <w:p w14:paraId="44150CC7" w14:textId="77777777" w:rsidR="00E351C5" w:rsidRDefault="00E351C5" w:rsidP="00AF4967">
      <w:pPr>
        <w:spacing w:after="0" w:line="240" w:lineRule="auto"/>
        <w:jc w:val="center"/>
        <w:rPr>
          <w:sz w:val="22"/>
        </w:rPr>
      </w:pPr>
    </w:p>
    <w:p w14:paraId="2510E877" w14:textId="73688205" w:rsidR="00E416E1" w:rsidRPr="00AF4967" w:rsidRDefault="00CE6A8E" w:rsidP="00AF4967">
      <w:pPr>
        <w:spacing w:after="0" w:line="240" w:lineRule="auto"/>
        <w:jc w:val="center"/>
        <w:rPr>
          <w:rFonts w:asciiTheme="minorHAnsi" w:hAnsiTheme="minorHAnsi" w:cstheme="minorHAnsi"/>
          <w:b/>
          <w:bCs/>
          <w:color w:val="FF0000"/>
          <w:sz w:val="22"/>
          <w:u w:val="single"/>
        </w:rPr>
      </w:pPr>
      <w:hyperlink r:id="rId9" w:history="1">
        <w:r w:rsidR="00E416E1" w:rsidRPr="00884C1B">
          <w:rPr>
            <w:rStyle w:val="Collegamentoipertestuale"/>
            <w:rFonts w:asciiTheme="minorHAnsi" w:hAnsiTheme="minorHAnsi" w:cstheme="minorHAnsi"/>
            <w:b/>
            <w:bCs/>
            <w:sz w:val="22"/>
          </w:rPr>
          <w:t>Scarica il Dossier</w:t>
        </w:r>
      </w:hyperlink>
    </w:p>
    <w:p w14:paraId="08BB959B" w14:textId="77777777" w:rsidR="00D83F40" w:rsidRDefault="00D83F40" w:rsidP="00AF4967">
      <w:pPr>
        <w:spacing w:after="0" w:line="240" w:lineRule="auto"/>
        <w:jc w:val="center"/>
        <w:rPr>
          <w:rFonts w:asciiTheme="minorHAnsi" w:hAnsiTheme="minorHAnsi" w:cstheme="minorHAnsi"/>
          <w:b/>
          <w:bCs/>
          <w:color w:val="FF0000"/>
          <w:sz w:val="22"/>
          <w:u w:val="single"/>
        </w:rPr>
      </w:pPr>
    </w:p>
    <w:p w14:paraId="3B770896" w14:textId="34A91267" w:rsidR="009C3D29" w:rsidRDefault="00C96129" w:rsidP="009C3D29">
      <w:pPr>
        <w:spacing w:after="0" w:line="240" w:lineRule="auto"/>
        <w:jc w:val="both"/>
        <w:rPr>
          <w:rFonts w:asciiTheme="minorHAnsi" w:hAnsiTheme="minorHAnsi" w:cstheme="minorHAnsi"/>
          <w:color w:val="FF0000"/>
          <w:sz w:val="22"/>
        </w:rPr>
      </w:pPr>
      <w:r w:rsidRPr="00DD0581">
        <w:rPr>
          <w:rFonts w:asciiTheme="minorHAnsi" w:hAnsiTheme="minorHAnsi" w:cstheme="minorHAnsi"/>
          <w:bCs/>
          <w:sz w:val="22"/>
        </w:rPr>
        <w:t xml:space="preserve">In Italia l’emergenza smog è sempre più </w:t>
      </w:r>
      <w:r w:rsidR="00B760D3" w:rsidRPr="00DD0581">
        <w:rPr>
          <w:rFonts w:asciiTheme="minorHAnsi" w:hAnsiTheme="minorHAnsi" w:cstheme="minorHAnsi"/>
          <w:bCs/>
          <w:sz w:val="22"/>
        </w:rPr>
        <w:t>cronica</w:t>
      </w:r>
      <w:r w:rsidR="00200C4D" w:rsidRPr="00DD0581">
        <w:rPr>
          <w:rFonts w:asciiTheme="minorHAnsi" w:hAnsiTheme="minorHAnsi" w:cstheme="minorHAnsi"/>
          <w:bCs/>
          <w:sz w:val="22"/>
        </w:rPr>
        <w:t xml:space="preserve">. In questi primi </w:t>
      </w:r>
      <w:r w:rsidR="00226795" w:rsidRPr="00DD0581">
        <w:rPr>
          <w:rFonts w:asciiTheme="minorHAnsi" w:hAnsiTheme="minorHAnsi" w:cstheme="minorHAnsi"/>
          <w:bCs/>
          <w:sz w:val="22"/>
        </w:rPr>
        <w:t xml:space="preserve">dieci mesi </w:t>
      </w:r>
      <w:r w:rsidR="00F33C3B" w:rsidRPr="00DD0581">
        <w:rPr>
          <w:rFonts w:asciiTheme="minorHAnsi" w:hAnsiTheme="minorHAnsi" w:cstheme="minorHAnsi"/>
          <w:bCs/>
          <w:sz w:val="22"/>
        </w:rPr>
        <w:t>del 2022</w:t>
      </w:r>
      <w:r w:rsidR="009D44A4" w:rsidRPr="00DD0581">
        <w:rPr>
          <w:rFonts w:asciiTheme="minorHAnsi" w:hAnsiTheme="minorHAnsi" w:cstheme="minorHAnsi"/>
          <w:bCs/>
          <w:sz w:val="22"/>
        </w:rPr>
        <w:t xml:space="preserve"> </w:t>
      </w:r>
      <w:r w:rsidR="0069314E" w:rsidRPr="00DD0581">
        <w:rPr>
          <w:rFonts w:asciiTheme="minorHAnsi" w:hAnsiTheme="minorHAnsi" w:cstheme="minorHAnsi"/>
          <w:bCs/>
          <w:sz w:val="22"/>
        </w:rPr>
        <w:t>suona già il primo campanello d’allarme</w:t>
      </w:r>
      <w:r w:rsidR="00487C38" w:rsidRPr="00DD0581">
        <w:rPr>
          <w:rFonts w:asciiTheme="minorHAnsi" w:hAnsiTheme="minorHAnsi" w:cstheme="minorHAnsi"/>
          <w:bCs/>
          <w:sz w:val="22"/>
        </w:rPr>
        <w:t xml:space="preserve"> per inquinamento atmosferico. L</w:t>
      </w:r>
      <w:r w:rsidR="00126DE4" w:rsidRPr="00DD0581">
        <w:rPr>
          <w:rFonts w:asciiTheme="minorHAnsi" w:hAnsiTheme="minorHAnsi" w:cstheme="minorHAnsi"/>
          <w:sz w:val="22"/>
        </w:rPr>
        <w:t>i</w:t>
      </w:r>
      <w:r w:rsidR="00E416E1" w:rsidRPr="00DD0581">
        <w:rPr>
          <w:rFonts w:asciiTheme="minorHAnsi" w:hAnsiTheme="minorHAnsi" w:cstheme="minorHAnsi"/>
          <w:sz w:val="22"/>
        </w:rPr>
        <w:t xml:space="preserve">velli degli inquinanti off-limits, traffico congestionato e </w:t>
      </w:r>
      <w:bookmarkStart w:id="2" w:name="_Hlk114288970"/>
      <w:r w:rsidR="00E416E1" w:rsidRPr="00DD0581">
        <w:rPr>
          <w:rFonts w:asciiTheme="minorHAnsi" w:hAnsiTheme="minorHAnsi" w:cstheme="minorHAnsi"/>
          <w:sz w:val="22"/>
        </w:rPr>
        <w:t>misure antismog insufficienti</w:t>
      </w:r>
      <w:r w:rsidR="000C1432" w:rsidRPr="00DD0581">
        <w:rPr>
          <w:rFonts w:asciiTheme="minorHAnsi" w:hAnsiTheme="minorHAnsi" w:cstheme="minorHAnsi"/>
          <w:sz w:val="22"/>
        </w:rPr>
        <w:t xml:space="preserve"> sono ormai </w:t>
      </w:r>
      <w:bookmarkEnd w:id="2"/>
      <w:r w:rsidR="000C1432" w:rsidRPr="00DD0581">
        <w:rPr>
          <w:rFonts w:asciiTheme="minorHAnsi" w:hAnsiTheme="minorHAnsi" w:cstheme="minorHAnsi"/>
          <w:sz w:val="22"/>
        </w:rPr>
        <w:t>u</w:t>
      </w:r>
      <w:r w:rsidR="00E416E1" w:rsidRPr="00DD0581">
        <w:rPr>
          <w:rFonts w:asciiTheme="minorHAnsi" w:hAnsiTheme="minorHAnsi" w:cstheme="minorHAnsi"/>
          <w:sz w:val="22"/>
        </w:rPr>
        <w:t>na situazione di “malessere generale</w:t>
      </w:r>
      <w:r w:rsidR="00200C4D" w:rsidRPr="00DD0581">
        <w:rPr>
          <w:rFonts w:asciiTheme="minorHAnsi" w:hAnsiTheme="minorHAnsi" w:cstheme="minorHAnsi"/>
          <w:sz w:val="22"/>
        </w:rPr>
        <w:t xml:space="preserve">” </w:t>
      </w:r>
      <w:r w:rsidR="00E416E1" w:rsidRPr="00DD0581">
        <w:rPr>
          <w:rFonts w:asciiTheme="minorHAnsi" w:hAnsiTheme="minorHAnsi" w:cstheme="minorHAnsi"/>
          <w:sz w:val="22"/>
        </w:rPr>
        <w:t>che rischia di peggiorare con l</w:t>
      </w:r>
      <w:r w:rsidR="00D7286C" w:rsidRPr="00DD0581">
        <w:rPr>
          <w:rFonts w:asciiTheme="minorHAnsi" w:hAnsiTheme="minorHAnsi" w:cstheme="minorHAnsi"/>
          <w:sz w:val="22"/>
        </w:rPr>
        <w:t>’</w:t>
      </w:r>
      <w:r w:rsidR="000C1432" w:rsidRPr="00DD0581">
        <w:rPr>
          <w:rFonts w:asciiTheme="minorHAnsi" w:hAnsiTheme="minorHAnsi" w:cstheme="minorHAnsi"/>
          <w:sz w:val="22"/>
        </w:rPr>
        <w:t xml:space="preserve">avvio </w:t>
      </w:r>
      <w:r w:rsidR="00D07A7F" w:rsidRPr="00DD0581">
        <w:rPr>
          <w:rFonts w:asciiTheme="minorHAnsi" w:hAnsiTheme="minorHAnsi" w:cstheme="minorHAnsi"/>
          <w:sz w:val="22"/>
        </w:rPr>
        <w:t>d</w:t>
      </w:r>
      <w:r w:rsidR="00D7286C" w:rsidRPr="00DD0581">
        <w:rPr>
          <w:rFonts w:asciiTheme="minorHAnsi" w:hAnsiTheme="minorHAnsi" w:cstheme="minorHAnsi"/>
          <w:sz w:val="22"/>
        </w:rPr>
        <w:t xml:space="preserve">ella </w:t>
      </w:r>
      <w:r w:rsidR="00D07A7F" w:rsidRPr="00DD0581">
        <w:rPr>
          <w:rFonts w:asciiTheme="minorHAnsi" w:hAnsiTheme="minorHAnsi" w:cstheme="minorHAnsi"/>
          <w:sz w:val="22"/>
        </w:rPr>
        <w:t>stagione autunnale-</w:t>
      </w:r>
      <w:r w:rsidR="00E416E1" w:rsidRPr="00DD0581">
        <w:rPr>
          <w:rFonts w:asciiTheme="minorHAnsi" w:hAnsiTheme="minorHAnsi" w:cstheme="minorHAnsi"/>
          <w:sz w:val="22"/>
        </w:rPr>
        <w:t xml:space="preserve">invernale. </w:t>
      </w:r>
      <w:r w:rsidR="00940C7A" w:rsidRPr="00DD0581">
        <w:rPr>
          <w:rFonts w:asciiTheme="minorHAnsi" w:hAnsiTheme="minorHAnsi" w:cstheme="minorHAnsi"/>
          <w:sz w:val="22"/>
        </w:rPr>
        <w:t xml:space="preserve"> È quanto emerge in sintesi dal </w:t>
      </w:r>
      <w:r w:rsidR="00C352DC" w:rsidRPr="00DD0581">
        <w:rPr>
          <w:rFonts w:asciiTheme="minorHAnsi" w:hAnsiTheme="minorHAnsi" w:cstheme="minorHAnsi"/>
          <w:b/>
          <w:bCs/>
          <w:sz w:val="22"/>
        </w:rPr>
        <w:t>dossier</w:t>
      </w:r>
      <w:r w:rsidR="00DD0581" w:rsidRPr="00DD0581">
        <w:rPr>
          <w:rFonts w:asciiTheme="minorHAnsi" w:hAnsiTheme="minorHAnsi" w:cstheme="minorHAnsi"/>
          <w:b/>
          <w:bCs/>
          <w:sz w:val="22"/>
        </w:rPr>
        <w:t xml:space="preserve">: </w:t>
      </w:r>
      <w:r w:rsidR="00C352DC" w:rsidRPr="00DD0581">
        <w:rPr>
          <w:rFonts w:asciiTheme="minorHAnsi" w:hAnsiTheme="minorHAnsi" w:cstheme="minorHAnsi"/>
          <w:b/>
          <w:bCs/>
          <w:sz w:val="22"/>
        </w:rPr>
        <w:t>“</w:t>
      </w:r>
      <w:proofErr w:type="spellStart"/>
      <w:r w:rsidR="00C352DC" w:rsidRPr="00DD0581">
        <w:rPr>
          <w:rFonts w:asciiTheme="minorHAnsi" w:hAnsiTheme="minorHAnsi" w:cstheme="minorHAnsi"/>
          <w:bCs/>
          <w:i/>
          <w:sz w:val="22"/>
        </w:rPr>
        <w:t>Mal’aria</w:t>
      </w:r>
      <w:proofErr w:type="spellEnd"/>
      <w:r w:rsidR="00C352DC" w:rsidRPr="00DD0581">
        <w:rPr>
          <w:rFonts w:asciiTheme="minorHAnsi" w:hAnsiTheme="minorHAnsi" w:cstheme="minorHAnsi"/>
          <w:bCs/>
          <w:i/>
          <w:sz w:val="22"/>
        </w:rPr>
        <w:t xml:space="preserve"> 2022 edizione autunnale. Verso città mobilità emissioni zero</w:t>
      </w:r>
      <w:r w:rsidR="00C352DC" w:rsidRPr="00DD0581">
        <w:rPr>
          <w:rFonts w:asciiTheme="minorHAnsi" w:hAnsiTheme="minorHAnsi" w:cstheme="minorHAnsi"/>
          <w:b/>
          <w:bCs/>
          <w:sz w:val="22"/>
        </w:rPr>
        <w:t xml:space="preserve">” </w:t>
      </w:r>
      <w:r w:rsidR="00C352DC" w:rsidRPr="00DD0581">
        <w:rPr>
          <w:rFonts w:asciiTheme="minorHAnsi" w:hAnsiTheme="minorHAnsi" w:cstheme="minorHAnsi"/>
          <w:bCs/>
          <w:sz w:val="22"/>
        </w:rPr>
        <w:t>realizzato da Legambiente</w:t>
      </w:r>
      <w:r w:rsidR="00C352DC" w:rsidRPr="00DD0581">
        <w:rPr>
          <w:rFonts w:asciiTheme="minorHAnsi" w:hAnsiTheme="minorHAnsi" w:cstheme="minorHAnsi"/>
          <w:sz w:val="22"/>
        </w:rPr>
        <w:t xml:space="preserve"> che, nell’ambito della </w:t>
      </w:r>
      <w:hyperlink r:id="rId10" w:history="1">
        <w:r w:rsidR="00C352DC" w:rsidRPr="00DD0581">
          <w:rPr>
            <w:rStyle w:val="Collegamentoipertestuale"/>
            <w:rFonts w:asciiTheme="minorHAnsi" w:hAnsiTheme="minorHAnsi"/>
            <w:b/>
            <w:bCs/>
            <w:sz w:val="22"/>
          </w:rPr>
          <w:t xml:space="preserve">campagna </w:t>
        </w:r>
        <w:proofErr w:type="spellStart"/>
        <w:r w:rsidR="00C352DC" w:rsidRPr="00DD0581">
          <w:rPr>
            <w:rStyle w:val="Collegamentoipertestuale"/>
            <w:rFonts w:asciiTheme="minorHAnsi" w:hAnsiTheme="minorHAnsi"/>
            <w:b/>
            <w:bCs/>
            <w:sz w:val="22"/>
          </w:rPr>
          <w:t>Clean</w:t>
        </w:r>
        <w:proofErr w:type="spellEnd"/>
        <w:r w:rsidR="00C352DC" w:rsidRPr="00DD0581">
          <w:rPr>
            <w:rStyle w:val="Collegamentoipertestuale"/>
            <w:rFonts w:asciiTheme="minorHAnsi" w:hAnsiTheme="minorHAnsi"/>
            <w:b/>
            <w:bCs/>
            <w:sz w:val="22"/>
          </w:rPr>
          <w:t xml:space="preserve"> </w:t>
        </w:r>
        <w:proofErr w:type="spellStart"/>
        <w:r w:rsidR="00C352DC" w:rsidRPr="00DD0581">
          <w:rPr>
            <w:rStyle w:val="Collegamentoipertestuale"/>
            <w:rFonts w:asciiTheme="minorHAnsi" w:hAnsiTheme="minorHAnsi"/>
            <w:b/>
            <w:bCs/>
            <w:sz w:val="22"/>
          </w:rPr>
          <w:t>Cities</w:t>
        </w:r>
        <w:proofErr w:type="spellEnd"/>
      </w:hyperlink>
      <w:r w:rsidR="00C352DC" w:rsidRPr="00DD0581">
        <w:rPr>
          <w:rStyle w:val="Collegamentoipertestuale"/>
          <w:rFonts w:asciiTheme="minorHAnsi" w:hAnsiTheme="minorHAnsi"/>
          <w:b/>
          <w:bCs/>
          <w:sz w:val="22"/>
        </w:rPr>
        <w:t xml:space="preserve">, </w:t>
      </w:r>
      <w:r w:rsidR="009B6BA2" w:rsidRPr="00DD0581">
        <w:rPr>
          <w:rStyle w:val="Collegamentoipertestuale"/>
          <w:rFonts w:asciiTheme="minorHAnsi" w:hAnsiTheme="minorHAnsi"/>
          <w:b/>
          <w:bCs/>
          <w:sz w:val="22"/>
        </w:rPr>
        <w:t xml:space="preserve"> </w:t>
      </w:r>
      <w:r w:rsidR="009B6BA2" w:rsidRPr="00DD0581">
        <w:rPr>
          <w:rFonts w:asciiTheme="minorHAnsi" w:hAnsiTheme="minorHAnsi" w:cstheme="minorHAnsi"/>
          <w:bCs/>
          <w:sz w:val="22"/>
        </w:rPr>
        <w:t>f</w:t>
      </w:r>
      <w:r w:rsidR="009B6BA2" w:rsidRPr="00DD0581">
        <w:rPr>
          <w:rFonts w:asciiTheme="minorHAnsi" w:hAnsiTheme="minorHAnsi" w:cstheme="minorHAnsi"/>
          <w:sz w:val="22"/>
        </w:rPr>
        <w:t xml:space="preserve">a il punto, </w:t>
      </w:r>
      <w:r w:rsidR="00A97A02" w:rsidRPr="00DD0581">
        <w:rPr>
          <w:rFonts w:asciiTheme="minorHAnsi" w:hAnsiTheme="minorHAnsi" w:cstheme="minorHAnsi"/>
          <w:sz w:val="22"/>
        </w:rPr>
        <w:t>d</w:t>
      </w:r>
      <w:r w:rsidR="00C352DC" w:rsidRPr="00DD0581">
        <w:rPr>
          <w:rFonts w:asciiTheme="minorHAnsi" w:hAnsiTheme="minorHAnsi" w:cstheme="minorHAnsi"/>
          <w:sz w:val="22"/>
        </w:rPr>
        <w:t>a inizio anno ai primi di ottobre 2022</w:t>
      </w:r>
      <w:r w:rsidR="009B6BA2" w:rsidRPr="00DD0581">
        <w:rPr>
          <w:rFonts w:asciiTheme="minorHAnsi" w:hAnsiTheme="minorHAnsi" w:cstheme="minorHAnsi"/>
          <w:sz w:val="22"/>
        </w:rPr>
        <w:t>,</w:t>
      </w:r>
      <w:r w:rsidR="00C352DC" w:rsidRPr="00DD0581">
        <w:rPr>
          <w:rFonts w:asciiTheme="minorHAnsi" w:hAnsiTheme="minorHAnsi" w:cstheme="minorHAnsi"/>
          <w:sz w:val="22"/>
        </w:rPr>
        <w:t xml:space="preserve"> </w:t>
      </w:r>
      <w:r w:rsidR="009B6BA2" w:rsidRPr="00DD0581">
        <w:rPr>
          <w:rFonts w:asciiTheme="minorHAnsi" w:hAnsiTheme="minorHAnsi" w:cstheme="minorHAnsi"/>
          <w:sz w:val="22"/>
        </w:rPr>
        <w:t xml:space="preserve">sulla </w:t>
      </w:r>
      <w:r w:rsidR="00C352DC" w:rsidRPr="00DD0581">
        <w:rPr>
          <w:rFonts w:asciiTheme="minorHAnsi" w:hAnsiTheme="minorHAnsi" w:cstheme="minorHAnsi"/>
          <w:sz w:val="22"/>
        </w:rPr>
        <w:t>qualità dell’aria di 13 città italiane al centro della campagna, mettendo a fuoco anche il tema delle politiche sulle mobilità urbana</w:t>
      </w:r>
      <w:r w:rsidR="00E21CF0" w:rsidRPr="00DD0581">
        <w:rPr>
          <w:rFonts w:asciiTheme="minorHAnsi" w:hAnsiTheme="minorHAnsi" w:cstheme="minorHAnsi"/>
          <w:sz w:val="22"/>
        </w:rPr>
        <w:t>.</w:t>
      </w:r>
      <w:r w:rsidR="00E21CF0">
        <w:rPr>
          <w:rFonts w:asciiTheme="minorHAnsi" w:hAnsiTheme="minorHAnsi" w:cstheme="minorHAnsi"/>
          <w:sz w:val="22"/>
        </w:rPr>
        <w:t xml:space="preserve"> </w:t>
      </w:r>
      <w:r w:rsidR="009C3D29" w:rsidRPr="00AF4967">
        <w:rPr>
          <w:rFonts w:asciiTheme="minorHAnsi" w:hAnsiTheme="minorHAnsi" w:cstheme="minorHAnsi"/>
          <w:sz w:val="22"/>
        </w:rPr>
        <w:t xml:space="preserve">Per quanto riguarda il </w:t>
      </w:r>
      <w:r w:rsidR="009C3D29" w:rsidRPr="00AF4967">
        <w:rPr>
          <w:rFonts w:asciiTheme="minorHAnsi" w:hAnsiTheme="minorHAnsi" w:cstheme="minorHAnsi"/>
          <w:b/>
          <w:bCs/>
          <w:sz w:val="22"/>
        </w:rPr>
        <w:t>PM10</w:t>
      </w:r>
      <w:r w:rsidR="00DD0581">
        <w:rPr>
          <w:rFonts w:asciiTheme="minorHAnsi" w:hAnsiTheme="minorHAnsi" w:cstheme="minorHAnsi"/>
          <w:sz w:val="22"/>
        </w:rPr>
        <w:t xml:space="preserve">, la soglia di 35 giorni da non superare </w:t>
      </w:r>
      <w:r w:rsidR="00DD0581" w:rsidRPr="00E3598A">
        <w:rPr>
          <w:rFonts w:asciiTheme="minorHAnsi" w:hAnsiTheme="minorHAnsi" w:cstheme="minorHAnsi"/>
          <w:sz w:val="22"/>
        </w:rPr>
        <w:t>con una media giornaliera superiore ai 50 microgrammi/metro cubo</w:t>
      </w:r>
      <w:r w:rsidR="00DD0581">
        <w:rPr>
          <w:rFonts w:asciiTheme="minorHAnsi" w:hAnsiTheme="minorHAnsi" w:cstheme="minorHAnsi"/>
          <w:sz w:val="22"/>
        </w:rPr>
        <w:t>, è stata ampiamente superata</w:t>
      </w:r>
      <w:r w:rsidR="00DD0581" w:rsidRPr="00AF4967">
        <w:rPr>
          <w:rFonts w:asciiTheme="minorHAnsi" w:hAnsiTheme="minorHAnsi" w:cstheme="minorHAnsi"/>
          <w:sz w:val="22"/>
        </w:rPr>
        <w:t xml:space="preserve"> </w:t>
      </w:r>
      <w:r w:rsidR="009C3D29" w:rsidRPr="00AF4967">
        <w:rPr>
          <w:rFonts w:asciiTheme="minorHAnsi" w:hAnsiTheme="minorHAnsi" w:cstheme="minorHAnsi"/>
          <w:sz w:val="22"/>
        </w:rPr>
        <w:t>con almeno una delle centraline</w:t>
      </w:r>
      <w:r w:rsidR="009C3D29" w:rsidRPr="00B139D2">
        <w:rPr>
          <w:rFonts w:asciiTheme="minorHAnsi" w:hAnsiTheme="minorHAnsi" w:cstheme="minorHAnsi"/>
          <w:sz w:val="22"/>
        </w:rPr>
        <w:t xml:space="preserve">, in 3 delle </w:t>
      </w:r>
      <w:r w:rsidR="00B139D2" w:rsidRPr="00B139D2">
        <w:rPr>
          <w:rFonts w:asciiTheme="minorHAnsi" w:hAnsiTheme="minorHAnsi" w:cstheme="minorHAnsi"/>
          <w:sz w:val="22"/>
        </w:rPr>
        <w:t>13</w:t>
      </w:r>
      <w:r w:rsidR="009C3D29" w:rsidRPr="00B139D2">
        <w:rPr>
          <w:rFonts w:asciiTheme="minorHAnsi" w:hAnsiTheme="minorHAnsi" w:cstheme="minorHAnsi"/>
          <w:sz w:val="22"/>
        </w:rPr>
        <w:t xml:space="preserve"> città analizzate.</w:t>
      </w:r>
      <w:r w:rsidR="009C3D29" w:rsidRPr="00AF4967">
        <w:rPr>
          <w:rFonts w:asciiTheme="minorHAnsi" w:hAnsiTheme="minorHAnsi" w:cstheme="minorHAnsi"/>
          <w:sz w:val="22"/>
        </w:rPr>
        <w:t xml:space="preserve"> </w:t>
      </w:r>
      <w:r w:rsidR="0014465C">
        <w:rPr>
          <w:rFonts w:asciiTheme="minorHAnsi" w:hAnsiTheme="minorHAnsi" w:cstheme="minorHAnsi"/>
          <w:sz w:val="22"/>
        </w:rPr>
        <w:t>S</w:t>
      </w:r>
      <w:r w:rsidR="009C3D29" w:rsidRPr="00AF4967">
        <w:rPr>
          <w:rFonts w:asciiTheme="minorHAnsi" w:hAnsiTheme="minorHAnsi" w:cstheme="minorHAnsi"/>
          <w:sz w:val="22"/>
        </w:rPr>
        <w:t xml:space="preserve">ono già in </w:t>
      </w:r>
      <w:r w:rsidR="009C3D29" w:rsidRPr="00AF4967">
        <w:rPr>
          <w:rFonts w:asciiTheme="minorHAnsi" w:hAnsiTheme="minorHAnsi" w:cstheme="minorHAnsi"/>
          <w:b/>
          <w:bCs/>
          <w:sz w:val="22"/>
        </w:rPr>
        <w:t>codice rosso Torino, Milano e Padova</w:t>
      </w:r>
      <w:r w:rsidR="009C3D29" w:rsidRPr="00AF4967">
        <w:rPr>
          <w:rFonts w:asciiTheme="minorHAnsi" w:hAnsiTheme="minorHAnsi" w:cstheme="minorHAnsi"/>
          <w:sz w:val="22"/>
        </w:rPr>
        <w:t xml:space="preserve"> che si trovano </w:t>
      </w:r>
      <w:r w:rsidR="009C3D29" w:rsidRPr="00AF4967">
        <w:rPr>
          <w:rFonts w:asciiTheme="minorHAnsi" w:hAnsiTheme="minorHAnsi" w:cstheme="minorHAnsi"/>
          <w:b/>
          <w:bCs/>
          <w:sz w:val="22"/>
        </w:rPr>
        <w:t>fuori dai limiti di legge</w:t>
      </w:r>
      <w:r w:rsidR="009C3D29" w:rsidRPr="00AF4967">
        <w:rPr>
          <w:rFonts w:asciiTheme="minorHAnsi" w:hAnsiTheme="minorHAnsi" w:cstheme="minorHAnsi"/>
          <w:sz w:val="22"/>
        </w:rPr>
        <w:t xml:space="preserve">, rispettivamente con 69, 54 e 47 giornate di sforamento. </w:t>
      </w:r>
      <w:r w:rsidR="009C3D29" w:rsidRPr="00AF4967">
        <w:rPr>
          <w:rFonts w:asciiTheme="minorHAnsi" w:hAnsiTheme="minorHAnsi" w:cstheme="minorHAnsi"/>
          <w:b/>
          <w:bCs/>
          <w:sz w:val="22"/>
        </w:rPr>
        <w:t>Codice giallo, invece, per Parma (25), Bergamo (23), Roma (23) e Bologna (17)</w:t>
      </w:r>
      <w:r w:rsidR="009C3D29" w:rsidRPr="00AF4967">
        <w:rPr>
          <w:rFonts w:asciiTheme="minorHAnsi" w:hAnsiTheme="minorHAnsi" w:cstheme="minorHAnsi"/>
          <w:sz w:val="22"/>
        </w:rPr>
        <w:t xml:space="preserve"> che hanno già consumato la metà dei giorni di sforamento. A seguire, le città di </w:t>
      </w:r>
      <w:r w:rsidR="009C3D29" w:rsidRPr="00AF4967">
        <w:rPr>
          <w:rFonts w:asciiTheme="minorHAnsi" w:hAnsiTheme="minorHAnsi" w:cstheme="minorHAnsi"/>
          <w:b/>
          <w:bCs/>
          <w:sz w:val="22"/>
        </w:rPr>
        <w:t>Palermo e Prato</w:t>
      </w:r>
      <w:r w:rsidR="009C3D29" w:rsidRPr="00AF4967">
        <w:rPr>
          <w:rFonts w:asciiTheme="minorHAnsi" w:hAnsiTheme="minorHAnsi" w:cstheme="minorHAnsi"/>
          <w:sz w:val="22"/>
        </w:rPr>
        <w:t xml:space="preserve"> (15), </w:t>
      </w:r>
      <w:r w:rsidR="009C3D29" w:rsidRPr="00AF4967">
        <w:rPr>
          <w:rFonts w:asciiTheme="minorHAnsi" w:hAnsiTheme="minorHAnsi" w:cstheme="minorHAnsi"/>
          <w:b/>
          <w:bCs/>
          <w:sz w:val="22"/>
        </w:rPr>
        <w:t>Catania</w:t>
      </w:r>
      <w:r w:rsidR="009C3D29" w:rsidRPr="00AF4967">
        <w:rPr>
          <w:rFonts w:asciiTheme="minorHAnsi" w:hAnsiTheme="minorHAnsi" w:cstheme="minorHAnsi"/>
          <w:sz w:val="22"/>
        </w:rPr>
        <w:t xml:space="preserve"> e </w:t>
      </w:r>
      <w:r w:rsidR="009C3D29" w:rsidRPr="00AF4967">
        <w:rPr>
          <w:rFonts w:asciiTheme="minorHAnsi" w:hAnsiTheme="minorHAnsi" w:cstheme="minorHAnsi"/>
          <w:b/>
          <w:bCs/>
          <w:sz w:val="22"/>
        </w:rPr>
        <w:t xml:space="preserve">Perugia </w:t>
      </w:r>
      <w:r w:rsidR="009C3D29" w:rsidRPr="00AF4967">
        <w:rPr>
          <w:rFonts w:asciiTheme="minorHAnsi" w:hAnsiTheme="minorHAnsi" w:cstheme="minorHAnsi"/>
          <w:sz w:val="22"/>
        </w:rPr>
        <w:t xml:space="preserve">(11) e </w:t>
      </w:r>
      <w:r w:rsidR="009C3D29" w:rsidRPr="00AF4967">
        <w:rPr>
          <w:rFonts w:asciiTheme="minorHAnsi" w:hAnsiTheme="minorHAnsi" w:cstheme="minorHAnsi"/>
          <w:b/>
          <w:bCs/>
          <w:sz w:val="22"/>
        </w:rPr>
        <w:t>Firenze</w:t>
      </w:r>
      <w:r w:rsidR="009C3D29" w:rsidRPr="00AF4967">
        <w:rPr>
          <w:rFonts w:asciiTheme="minorHAnsi" w:hAnsiTheme="minorHAnsi" w:cstheme="minorHAnsi"/>
          <w:sz w:val="22"/>
        </w:rPr>
        <w:t xml:space="preserve"> (10) che sono già in doppia cifra.</w:t>
      </w:r>
      <w:r w:rsidR="009C3D29" w:rsidRPr="00AF4967">
        <w:rPr>
          <w:rFonts w:asciiTheme="minorHAnsi" w:hAnsiTheme="minorHAnsi" w:cstheme="minorHAnsi"/>
          <w:color w:val="FF0000"/>
          <w:sz w:val="22"/>
        </w:rPr>
        <w:t xml:space="preserve"> </w:t>
      </w:r>
    </w:p>
    <w:p w14:paraId="5533C40C" w14:textId="77777777" w:rsidR="00965C7F" w:rsidRPr="00D07A7F" w:rsidRDefault="00965C7F" w:rsidP="009C3D29">
      <w:pPr>
        <w:spacing w:after="0" w:line="240" w:lineRule="auto"/>
        <w:jc w:val="both"/>
        <w:rPr>
          <w:rFonts w:asciiTheme="minorHAnsi" w:hAnsiTheme="minorHAnsi" w:cstheme="minorHAnsi"/>
          <w:bCs/>
          <w:sz w:val="22"/>
        </w:rPr>
      </w:pPr>
    </w:p>
    <w:p w14:paraId="3CDB61ED" w14:textId="475CF5E0" w:rsidR="00C40DDD" w:rsidRDefault="001D02CE" w:rsidP="00AF4967">
      <w:pPr>
        <w:spacing w:after="0" w:line="240" w:lineRule="auto"/>
        <w:jc w:val="both"/>
        <w:rPr>
          <w:rFonts w:asciiTheme="minorHAnsi" w:hAnsiTheme="minorHAnsi" w:cstheme="minorHAnsi"/>
          <w:sz w:val="22"/>
          <w:shd w:val="clear" w:color="auto" w:fill="FFFFFF"/>
        </w:rPr>
      </w:pPr>
      <w:r w:rsidRPr="00DD0581">
        <w:rPr>
          <w:rFonts w:asciiTheme="minorHAnsi" w:hAnsiTheme="minorHAnsi" w:cstheme="minorHAnsi"/>
          <w:b/>
          <w:bCs/>
          <w:sz w:val="22"/>
        </w:rPr>
        <w:t>N</w:t>
      </w:r>
      <w:r w:rsidR="00E416E1" w:rsidRPr="00DD0581">
        <w:rPr>
          <w:rFonts w:asciiTheme="minorHAnsi" w:hAnsiTheme="minorHAnsi" w:cstheme="minorHAnsi"/>
          <w:b/>
          <w:bCs/>
          <w:sz w:val="22"/>
        </w:rPr>
        <w:t xml:space="preserve">essuna </w:t>
      </w:r>
      <w:r w:rsidR="00592EAD" w:rsidRPr="00DD0581">
        <w:rPr>
          <w:rFonts w:asciiTheme="minorHAnsi" w:hAnsiTheme="minorHAnsi" w:cstheme="minorHAnsi"/>
          <w:b/>
          <w:bCs/>
          <w:sz w:val="22"/>
        </w:rPr>
        <w:t xml:space="preserve">delle 13 </w:t>
      </w:r>
      <w:r w:rsidR="00E416E1" w:rsidRPr="00DD0581">
        <w:rPr>
          <w:rFonts w:asciiTheme="minorHAnsi" w:hAnsiTheme="minorHAnsi" w:cstheme="minorHAnsi"/>
          <w:b/>
          <w:bCs/>
          <w:sz w:val="22"/>
        </w:rPr>
        <w:t xml:space="preserve">città </w:t>
      </w:r>
      <w:r w:rsidRPr="00DD0581">
        <w:rPr>
          <w:rFonts w:asciiTheme="minorHAnsi" w:hAnsiTheme="minorHAnsi" w:cstheme="minorHAnsi"/>
          <w:bCs/>
          <w:sz w:val="22"/>
        </w:rPr>
        <w:t>monitorate nell’ambito d</w:t>
      </w:r>
      <w:r w:rsidR="00AB1AEA" w:rsidRPr="00DD0581">
        <w:rPr>
          <w:rFonts w:asciiTheme="minorHAnsi" w:hAnsiTheme="minorHAnsi" w:cstheme="minorHAnsi"/>
          <w:bCs/>
          <w:sz w:val="22"/>
        </w:rPr>
        <w:t xml:space="preserve">ella campagna </w:t>
      </w:r>
      <w:proofErr w:type="spellStart"/>
      <w:r w:rsidRPr="00DD0581">
        <w:rPr>
          <w:rFonts w:asciiTheme="minorHAnsi" w:hAnsiTheme="minorHAnsi" w:cstheme="minorHAnsi"/>
          <w:bCs/>
          <w:sz w:val="22"/>
        </w:rPr>
        <w:t>Clean</w:t>
      </w:r>
      <w:proofErr w:type="spellEnd"/>
      <w:r w:rsidRPr="00DD0581">
        <w:rPr>
          <w:rFonts w:asciiTheme="minorHAnsi" w:hAnsiTheme="minorHAnsi" w:cstheme="minorHAnsi"/>
          <w:bCs/>
          <w:sz w:val="22"/>
        </w:rPr>
        <w:t xml:space="preserve"> </w:t>
      </w:r>
      <w:proofErr w:type="spellStart"/>
      <w:r w:rsidRPr="00DD0581">
        <w:rPr>
          <w:rFonts w:asciiTheme="minorHAnsi" w:hAnsiTheme="minorHAnsi" w:cstheme="minorHAnsi"/>
          <w:bCs/>
          <w:sz w:val="22"/>
        </w:rPr>
        <w:t>Cities</w:t>
      </w:r>
      <w:proofErr w:type="spellEnd"/>
      <w:r w:rsidRPr="00DD0581">
        <w:rPr>
          <w:rFonts w:asciiTheme="minorHAnsi" w:hAnsiTheme="minorHAnsi" w:cstheme="minorHAnsi"/>
          <w:b/>
          <w:bCs/>
          <w:sz w:val="22"/>
        </w:rPr>
        <w:t>,</w:t>
      </w:r>
      <w:r>
        <w:rPr>
          <w:rFonts w:asciiTheme="minorHAnsi" w:hAnsiTheme="minorHAnsi" w:cstheme="minorHAnsi"/>
          <w:b/>
          <w:bCs/>
          <w:sz w:val="22"/>
        </w:rPr>
        <w:t xml:space="preserve"> </w:t>
      </w:r>
      <w:r w:rsidR="00E416E1" w:rsidRPr="00AF4967">
        <w:rPr>
          <w:rFonts w:asciiTheme="minorHAnsi" w:hAnsiTheme="minorHAnsi" w:cstheme="minorHAnsi"/>
          <w:b/>
          <w:bCs/>
          <w:sz w:val="22"/>
        </w:rPr>
        <w:t xml:space="preserve">rispetta </w:t>
      </w:r>
      <w:r w:rsidR="004A7796" w:rsidRPr="00AF4967">
        <w:rPr>
          <w:rFonts w:asciiTheme="minorHAnsi" w:hAnsiTheme="minorHAnsi" w:cstheme="minorHAnsi"/>
          <w:b/>
          <w:bCs/>
          <w:sz w:val="22"/>
        </w:rPr>
        <w:t xml:space="preserve">poi </w:t>
      </w:r>
      <w:r w:rsidR="00E416E1" w:rsidRPr="00AF4967">
        <w:rPr>
          <w:rFonts w:asciiTheme="minorHAnsi" w:hAnsiTheme="minorHAnsi" w:cstheme="minorHAnsi"/>
          <w:b/>
          <w:bCs/>
          <w:sz w:val="22"/>
        </w:rPr>
        <w:t>i valori suggeriti dall’Organizzazione mondiale della sanità</w:t>
      </w:r>
      <w:r>
        <w:rPr>
          <w:rFonts w:asciiTheme="minorHAnsi" w:hAnsiTheme="minorHAnsi" w:cstheme="minorHAnsi"/>
          <w:b/>
          <w:bCs/>
          <w:sz w:val="22"/>
        </w:rPr>
        <w:t xml:space="preserve"> </w:t>
      </w:r>
      <w:r w:rsidRPr="001D02CE">
        <w:rPr>
          <w:rFonts w:asciiTheme="minorHAnsi" w:hAnsiTheme="minorHAnsi" w:cstheme="minorHAnsi"/>
          <w:bCs/>
          <w:sz w:val="22"/>
        </w:rPr>
        <w:t>(OMS)</w:t>
      </w:r>
      <w:r w:rsidR="00E416E1" w:rsidRPr="001D02CE">
        <w:rPr>
          <w:rFonts w:asciiTheme="minorHAnsi" w:hAnsiTheme="minorHAnsi" w:cstheme="minorHAnsi"/>
          <w:sz w:val="22"/>
        </w:rPr>
        <w:t>,</w:t>
      </w:r>
      <w:r w:rsidR="00E416E1" w:rsidRPr="00AF4967">
        <w:rPr>
          <w:rFonts w:asciiTheme="minorHAnsi" w:hAnsiTheme="minorHAnsi" w:cstheme="minorHAnsi"/>
          <w:sz w:val="22"/>
        </w:rPr>
        <w:t xml:space="preserve"> sia per quanto riguarda il </w:t>
      </w:r>
      <w:r w:rsidR="00E416E1" w:rsidRPr="00AF4967">
        <w:rPr>
          <w:rFonts w:asciiTheme="minorHAnsi" w:hAnsiTheme="minorHAnsi" w:cstheme="minorHAnsi"/>
          <w:b/>
          <w:bCs/>
          <w:sz w:val="22"/>
        </w:rPr>
        <w:t>PM10</w:t>
      </w:r>
      <w:r w:rsidR="00E416E1" w:rsidRPr="00AF4967">
        <w:rPr>
          <w:rFonts w:asciiTheme="minorHAnsi" w:hAnsiTheme="minorHAnsi" w:cstheme="minorHAnsi"/>
          <w:sz w:val="22"/>
        </w:rPr>
        <w:t xml:space="preserve"> (15 microgrammi/metro cubo) che per il </w:t>
      </w:r>
      <w:r w:rsidR="00E416E1" w:rsidRPr="00AF4967">
        <w:rPr>
          <w:rFonts w:asciiTheme="minorHAnsi" w:hAnsiTheme="minorHAnsi" w:cstheme="minorHAnsi"/>
          <w:b/>
          <w:bCs/>
          <w:sz w:val="22"/>
        </w:rPr>
        <w:t>PM2.5</w:t>
      </w:r>
      <w:r w:rsidR="00E416E1" w:rsidRPr="00AF4967">
        <w:rPr>
          <w:rFonts w:asciiTheme="minorHAnsi" w:hAnsiTheme="minorHAnsi" w:cstheme="minorHAnsi"/>
          <w:sz w:val="22"/>
        </w:rPr>
        <w:t xml:space="preserve"> (5 microgrammi/metro cubo) e l’</w:t>
      </w:r>
      <w:r w:rsidR="00E416E1" w:rsidRPr="00AF4967">
        <w:rPr>
          <w:rFonts w:asciiTheme="minorHAnsi" w:hAnsiTheme="minorHAnsi" w:cstheme="minorHAnsi"/>
          <w:b/>
          <w:bCs/>
          <w:sz w:val="22"/>
        </w:rPr>
        <w:t>NO2</w:t>
      </w:r>
      <w:r w:rsidR="00E416E1" w:rsidRPr="00AF4967">
        <w:rPr>
          <w:rFonts w:asciiTheme="minorHAnsi" w:hAnsiTheme="minorHAnsi" w:cstheme="minorHAnsi"/>
          <w:sz w:val="22"/>
        </w:rPr>
        <w:t xml:space="preserve"> (10 microgrammi/metro cubo). </w:t>
      </w:r>
      <w:r w:rsidR="00E416E1" w:rsidRPr="00AF4967">
        <w:rPr>
          <w:rFonts w:asciiTheme="minorHAnsi" w:hAnsiTheme="minorHAnsi" w:cstheme="minorHAnsi"/>
          <w:sz w:val="22"/>
          <w:shd w:val="clear" w:color="auto" w:fill="FFFFFF"/>
        </w:rPr>
        <w:t>Il P</w:t>
      </w:r>
      <w:r w:rsidR="002137F3" w:rsidRPr="00AF4967">
        <w:rPr>
          <w:rFonts w:asciiTheme="minorHAnsi" w:hAnsiTheme="minorHAnsi" w:cstheme="minorHAnsi"/>
          <w:sz w:val="22"/>
          <w:shd w:val="clear" w:color="auto" w:fill="FFFFFF"/>
        </w:rPr>
        <w:t>M</w:t>
      </w:r>
      <w:r w:rsidR="00E416E1" w:rsidRPr="00AF4967">
        <w:rPr>
          <w:rFonts w:asciiTheme="minorHAnsi" w:hAnsiTheme="minorHAnsi" w:cstheme="minorHAnsi"/>
          <w:sz w:val="22"/>
          <w:shd w:val="clear" w:color="auto" w:fill="FFFFFF"/>
        </w:rPr>
        <w:t>10 ha una media annuale</w:t>
      </w:r>
      <w:r w:rsidR="005777AD" w:rsidRPr="00AF4967">
        <w:rPr>
          <w:rFonts w:asciiTheme="minorHAnsi" w:hAnsiTheme="minorHAnsi" w:cstheme="minorHAnsi"/>
          <w:sz w:val="22"/>
          <w:shd w:val="clear" w:color="auto" w:fill="FFFFFF"/>
        </w:rPr>
        <w:t xml:space="preserve">, </w:t>
      </w:r>
      <w:r w:rsidR="00E416E1" w:rsidRPr="00AF4967">
        <w:rPr>
          <w:rFonts w:asciiTheme="minorHAnsi" w:hAnsiTheme="minorHAnsi" w:cstheme="minorHAnsi"/>
          <w:b/>
          <w:bCs/>
          <w:sz w:val="22"/>
          <w:shd w:val="clear" w:color="auto" w:fill="FFFFFF"/>
        </w:rPr>
        <w:t>eccedente il valore OMS</w:t>
      </w:r>
      <w:r w:rsidR="005777AD" w:rsidRPr="00AF4967">
        <w:rPr>
          <w:rFonts w:asciiTheme="minorHAnsi" w:hAnsiTheme="minorHAnsi" w:cstheme="minorHAnsi"/>
          <w:b/>
          <w:bCs/>
          <w:sz w:val="22"/>
          <w:shd w:val="clear" w:color="auto" w:fill="FFFFFF"/>
        </w:rPr>
        <w:t>,</w:t>
      </w:r>
      <w:r w:rsidR="00E416E1" w:rsidRPr="00AF4967">
        <w:rPr>
          <w:rFonts w:asciiTheme="minorHAnsi" w:hAnsiTheme="minorHAnsi" w:cstheme="minorHAnsi"/>
          <w:b/>
          <w:bCs/>
          <w:sz w:val="22"/>
          <w:shd w:val="clear" w:color="auto" w:fill="FFFFFF"/>
        </w:rPr>
        <w:t xml:space="preserve"> che oscilla dal +36% di Perugia, passando per città come Bari (+53%) e</w:t>
      </w:r>
      <w:r w:rsidR="00E416E1" w:rsidRPr="00AF4967">
        <w:rPr>
          <w:rFonts w:asciiTheme="minorHAnsi" w:hAnsiTheme="minorHAnsi" w:cstheme="minorHAnsi"/>
          <w:sz w:val="22"/>
          <w:shd w:val="clear" w:color="auto" w:fill="FFFFFF"/>
        </w:rPr>
        <w:t xml:space="preserve"> Catania (+75%), fino ad arrivare al +121% di Torino e </w:t>
      </w:r>
      <w:r w:rsidR="00E416E1" w:rsidRPr="00AF4967">
        <w:rPr>
          <w:rFonts w:asciiTheme="minorHAnsi" w:hAnsiTheme="minorHAnsi" w:cstheme="minorHAnsi"/>
          <w:b/>
          <w:bCs/>
          <w:sz w:val="22"/>
          <w:shd w:val="clear" w:color="auto" w:fill="FFFFFF"/>
        </w:rPr>
        <w:t>+122% di Milano</w:t>
      </w:r>
      <w:r w:rsidR="00E416E1" w:rsidRPr="00AF4967">
        <w:rPr>
          <w:rFonts w:asciiTheme="minorHAnsi" w:hAnsiTheme="minorHAnsi" w:cstheme="minorHAnsi"/>
          <w:sz w:val="22"/>
          <w:shd w:val="clear" w:color="auto" w:fill="FFFFFF"/>
        </w:rPr>
        <w:t>. Situazione ancora più critica per quanto riguarda</w:t>
      </w:r>
      <w:r w:rsidR="00E416E1" w:rsidRPr="00AF4967">
        <w:rPr>
          <w:rFonts w:asciiTheme="minorHAnsi" w:hAnsiTheme="minorHAnsi" w:cstheme="minorHAnsi"/>
          <w:b/>
          <w:bCs/>
          <w:sz w:val="22"/>
          <w:shd w:val="clear" w:color="auto" w:fill="FFFFFF"/>
        </w:rPr>
        <w:t xml:space="preserve"> il P</w:t>
      </w:r>
      <w:r w:rsidR="00E93334" w:rsidRPr="00AF4967">
        <w:rPr>
          <w:rFonts w:asciiTheme="minorHAnsi" w:hAnsiTheme="minorHAnsi" w:cstheme="minorHAnsi"/>
          <w:b/>
          <w:bCs/>
          <w:sz w:val="22"/>
          <w:shd w:val="clear" w:color="auto" w:fill="FFFFFF"/>
        </w:rPr>
        <w:t>M</w:t>
      </w:r>
      <w:r w:rsidR="00E416E1" w:rsidRPr="00AF4967">
        <w:rPr>
          <w:rFonts w:asciiTheme="minorHAnsi" w:hAnsiTheme="minorHAnsi" w:cstheme="minorHAnsi"/>
          <w:b/>
          <w:bCs/>
          <w:sz w:val="22"/>
          <w:shd w:val="clear" w:color="auto" w:fill="FFFFFF"/>
        </w:rPr>
        <w:t>2.5</w:t>
      </w:r>
      <w:r w:rsidR="00E416E1" w:rsidRPr="00AF4967">
        <w:rPr>
          <w:rFonts w:asciiTheme="minorHAnsi" w:hAnsiTheme="minorHAnsi" w:cstheme="minorHAnsi"/>
          <w:sz w:val="22"/>
          <w:shd w:val="clear" w:color="auto" w:fill="FFFFFF"/>
        </w:rPr>
        <w:t>, dove lo scostamento dai valori OMS oscilla tra il +123% di Roma al +300%</w:t>
      </w:r>
      <w:r w:rsidR="005777AD" w:rsidRPr="00AF4967">
        <w:rPr>
          <w:rFonts w:asciiTheme="minorHAnsi" w:hAnsiTheme="minorHAnsi" w:cstheme="minorHAnsi"/>
          <w:sz w:val="22"/>
          <w:shd w:val="clear" w:color="auto" w:fill="FFFFFF"/>
        </w:rPr>
        <w:t xml:space="preserve"> di</w:t>
      </w:r>
      <w:r w:rsidR="00E416E1" w:rsidRPr="00AF4967">
        <w:rPr>
          <w:rFonts w:asciiTheme="minorHAnsi" w:hAnsiTheme="minorHAnsi" w:cstheme="minorHAnsi"/>
          <w:sz w:val="22"/>
          <w:shd w:val="clear" w:color="auto" w:fill="FFFFFF"/>
        </w:rPr>
        <w:t xml:space="preserve"> Milano. Male anche per</w:t>
      </w:r>
      <w:r w:rsidR="00E416E1" w:rsidRPr="00AF4967">
        <w:rPr>
          <w:rFonts w:asciiTheme="minorHAnsi" w:hAnsiTheme="minorHAnsi" w:cstheme="minorHAnsi"/>
          <w:b/>
          <w:bCs/>
          <w:sz w:val="22"/>
          <w:shd w:val="clear" w:color="auto" w:fill="FFFFFF"/>
        </w:rPr>
        <w:t xml:space="preserve"> l’NO2</w:t>
      </w:r>
      <w:r w:rsidR="005777AD" w:rsidRPr="00AF4967">
        <w:rPr>
          <w:rFonts w:asciiTheme="minorHAnsi" w:hAnsiTheme="minorHAnsi" w:cstheme="minorHAnsi"/>
          <w:b/>
          <w:bCs/>
          <w:sz w:val="22"/>
          <w:shd w:val="clear" w:color="auto" w:fill="FFFFFF"/>
        </w:rPr>
        <w:t>:</w:t>
      </w:r>
      <w:r w:rsidR="00E416E1" w:rsidRPr="00AF4967">
        <w:rPr>
          <w:rFonts w:asciiTheme="minorHAnsi" w:hAnsiTheme="minorHAnsi" w:cstheme="minorHAnsi"/>
          <w:sz w:val="22"/>
          <w:shd w:val="clear" w:color="auto" w:fill="FFFFFF"/>
        </w:rPr>
        <w:t xml:space="preserve"> l’eccedenza dei valori medi registrati rispetto al limite dell’OMS varia tra il +97% di Parma fino al +257% di Milano.</w:t>
      </w:r>
    </w:p>
    <w:p w14:paraId="2ECADF84" w14:textId="77777777" w:rsidR="00AF4967" w:rsidRPr="00AF4967" w:rsidRDefault="00AF4967" w:rsidP="00AF4967">
      <w:pPr>
        <w:spacing w:after="0" w:line="240" w:lineRule="auto"/>
        <w:jc w:val="both"/>
        <w:rPr>
          <w:rFonts w:asciiTheme="minorHAnsi" w:hAnsiTheme="minorHAnsi" w:cstheme="minorHAnsi"/>
          <w:sz w:val="22"/>
        </w:rPr>
      </w:pPr>
      <w:bookmarkStart w:id="3" w:name="_Hlk114336253"/>
    </w:p>
    <w:p w14:paraId="1357FD61" w14:textId="5EDD732B" w:rsidR="004229D2" w:rsidRPr="002D244A" w:rsidRDefault="004229D2" w:rsidP="00AF4967">
      <w:pPr>
        <w:spacing w:after="0" w:line="240" w:lineRule="auto"/>
        <w:jc w:val="both"/>
        <w:rPr>
          <w:rFonts w:asciiTheme="minorHAnsi" w:hAnsiTheme="minorHAnsi" w:cstheme="minorHAnsi"/>
          <w:sz w:val="22"/>
        </w:rPr>
      </w:pPr>
      <w:r w:rsidRPr="00FE668E">
        <w:rPr>
          <w:rFonts w:asciiTheme="minorHAnsi" w:hAnsiTheme="minorHAnsi" w:cstheme="minorHAnsi"/>
          <w:sz w:val="22"/>
        </w:rPr>
        <w:t>“Non c’è più tempo da perdere. Dobbiamo occuparci della drammatica condizione della qualità dell’aria dei nostri centri urbani e rendere, al contempo, le nostre città più sicure e vivibili</w:t>
      </w:r>
      <w:r w:rsidR="00FB7952" w:rsidRPr="00FB7952">
        <w:rPr>
          <w:rFonts w:asciiTheme="minorHAnsi" w:hAnsiTheme="minorHAnsi" w:cstheme="minorHAnsi"/>
          <w:b/>
          <w:bCs/>
          <w:sz w:val="22"/>
        </w:rPr>
        <w:t>”, dichiara Giorgio Zampetti, direttore generale di Legambiente.</w:t>
      </w:r>
      <w:r w:rsidRPr="00FE668E">
        <w:rPr>
          <w:rFonts w:asciiTheme="minorHAnsi" w:hAnsiTheme="minorHAnsi" w:cstheme="minorHAnsi"/>
          <w:sz w:val="22"/>
        </w:rPr>
        <w:t xml:space="preserve"> </w:t>
      </w:r>
      <w:r w:rsidR="000A477E" w:rsidRPr="00FE668E">
        <w:rPr>
          <w:rFonts w:asciiTheme="minorHAnsi" w:hAnsiTheme="minorHAnsi" w:cstheme="minorHAnsi"/>
          <w:sz w:val="22"/>
        </w:rPr>
        <w:t xml:space="preserve">“Il preoccupante immobilismo della politica italiana davanti alle </w:t>
      </w:r>
      <w:r w:rsidR="000A477E" w:rsidRPr="00611C13">
        <w:rPr>
          <w:rFonts w:asciiTheme="minorHAnsi" w:hAnsiTheme="minorHAnsi" w:cstheme="minorHAnsi"/>
          <w:b/>
          <w:bCs/>
          <w:sz w:val="22"/>
        </w:rPr>
        <w:t>emissioni di biossido di azoto</w:t>
      </w:r>
      <w:r w:rsidR="000A477E" w:rsidRPr="00FE668E">
        <w:rPr>
          <w:rFonts w:asciiTheme="minorHAnsi" w:hAnsiTheme="minorHAnsi" w:cstheme="minorHAnsi"/>
          <w:sz w:val="22"/>
        </w:rPr>
        <w:t>, dovute in gran parte al traffico veicolare, ci è costat</w:t>
      </w:r>
      <w:r w:rsidR="00455613">
        <w:rPr>
          <w:rFonts w:asciiTheme="minorHAnsi" w:hAnsiTheme="minorHAnsi" w:cstheme="minorHAnsi"/>
          <w:sz w:val="22"/>
        </w:rPr>
        <w:t>a già una</w:t>
      </w:r>
      <w:r w:rsidR="000A477E" w:rsidRPr="00FE668E">
        <w:rPr>
          <w:rFonts w:asciiTheme="minorHAnsi" w:hAnsiTheme="minorHAnsi" w:cstheme="minorHAnsi"/>
          <w:sz w:val="22"/>
        </w:rPr>
        <w:t xml:space="preserve"> condann</w:t>
      </w:r>
      <w:r w:rsidR="00455613">
        <w:rPr>
          <w:rFonts w:asciiTheme="minorHAnsi" w:hAnsiTheme="minorHAnsi" w:cstheme="minorHAnsi"/>
          <w:sz w:val="22"/>
        </w:rPr>
        <w:t>a</w:t>
      </w:r>
      <w:r w:rsidR="000A477E" w:rsidRPr="00FE668E">
        <w:rPr>
          <w:rFonts w:asciiTheme="minorHAnsi" w:hAnsiTheme="minorHAnsi" w:cstheme="minorHAnsi"/>
          <w:sz w:val="22"/>
        </w:rPr>
        <w:t xml:space="preserve"> da parte della corte di Giustizia europea. Dopo anni di richiami nessun governo è stato in grado di mettere in atto misure credibili per sanare un problema gravissimo, che ha causato </w:t>
      </w:r>
      <w:r w:rsidR="000A477E" w:rsidRPr="00611C13">
        <w:rPr>
          <w:rFonts w:asciiTheme="minorHAnsi" w:hAnsiTheme="minorHAnsi" w:cstheme="minorHAnsi"/>
          <w:b/>
          <w:bCs/>
          <w:sz w:val="22"/>
        </w:rPr>
        <w:t>più vittime della pandemia</w:t>
      </w:r>
      <w:r w:rsidR="000A477E" w:rsidRPr="00FE668E">
        <w:rPr>
          <w:rFonts w:asciiTheme="minorHAnsi" w:hAnsiTheme="minorHAnsi" w:cstheme="minorHAnsi"/>
          <w:sz w:val="22"/>
        </w:rPr>
        <w:t xml:space="preserve"> nell’anno 2020 e 2021. È necessario agire su due fronti</w:t>
      </w:r>
      <w:r w:rsidR="00455613">
        <w:rPr>
          <w:rFonts w:asciiTheme="minorHAnsi" w:hAnsiTheme="minorHAnsi" w:cstheme="minorHAnsi"/>
          <w:sz w:val="22"/>
        </w:rPr>
        <w:t xml:space="preserve"> </w:t>
      </w:r>
      <w:r w:rsidR="000A477E" w:rsidRPr="00FE668E">
        <w:rPr>
          <w:rFonts w:asciiTheme="minorHAnsi" w:hAnsiTheme="minorHAnsi" w:cstheme="minorHAnsi"/>
          <w:sz w:val="22"/>
        </w:rPr>
        <w:t>distinti</w:t>
      </w:r>
      <w:r w:rsidR="00455613">
        <w:rPr>
          <w:rFonts w:asciiTheme="minorHAnsi" w:hAnsiTheme="minorHAnsi" w:cstheme="minorHAnsi"/>
          <w:sz w:val="22"/>
        </w:rPr>
        <w:t xml:space="preserve">, </w:t>
      </w:r>
      <w:r w:rsidR="000A477E" w:rsidRPr="00FE668E">
        <w:rPr>
          <w:rFonts w:asciiTheme="minorHAnsi" w:hAnsiTheme="minorHAnsi" w:cstheme="minorHAnsi"/>
          <w:sz w:val="22"/>
        </w:rPr>
        <w:t xml:space="preserve">ma complementari. Il primo riguarda la formulazione di </w:t>
      </w:r>
      <w:r w:rsidR="000A477E" w:rsidRPr="00611C13">
        <w:rPr>
          <w:rFonts w:asciiTheme="minorHAnsi" w:hAnsiTheme="minorHAnsi" w:cstheme="minorHAnsi"/>
          <w:b/>
          <w:bCs/>
          <w:sz w:val="22"/>
        </w:rPr>
        <w:t>misure di incentivo che favoriscano la scelta del trasporto pubblico locale e altre forme di mobilità sostenibile</w:t>
      </w:r>
      <w:r w:rsidR="00FE668E">
        <w:rPr>
          <w:rFonts w:asciiTheme="minorHAnsi" w:hAnsiTheme="minorHAnsi" w:cstheme="minorHAnsi"/>
          <w:sz w:val="22"/>
        </w:rPr>
        <w:t xml:space="preserve">, </w:t>
      </w:r>
      <w:r w:rsidR="00FE668E" w:rsidRPr="00FE668E">
        <w:rPr>
          <w:rFonts w:asciiTheme="minorHAnsi" w:hAnsiTheme="minorHAnsi" w:cstheme="minorHAnsi"/>
          <w:sz w:val="22"/>
        </w:rPr>
        <w:t>nonché disincentivi all’utilizzo dell’auto privat</w:t>
      </w:r>
      <w:r w:rsidR="00FE668E">
        <w:rPr>
          <w:rFonts w:asciiTheme="minorHAnsi" w:hAnsiTheme="minorHAnsi" w:cstheme="minorHAnsi"/>
          <w:sz w:val="22"/>
        </w:rPr>
        <w:t>a.</w:t>
      </w:r>
      <w:r w:rsidR="000A477E" w:rsidRPr="00FE668E">
        <w:rPr>
          <w:rFonts w:asciiTheme="minorHAnsi" w:hAnsiTheme="minorHAnsi" w:cstheme="minorHAnsi"/>
          <w:sz w:val="22"/>
        </w:rPr>
        <w:t xml:space="preserve"> Il secondo è relativo </w:t>
      </w:r>
      <w:r w:rsidR="00FE668E">
        <w:rPr>
          <w:rFonts w:asciiTheme="minorHAnsi" w:hAnsiTheme="minorHAnsi" w:cstheme="minorHAnsi"/>
          <w:sz w:val="22"/>
        </w:rPr>
        <w:t xml:space="preserve">alla </w:t>
      </w:r>
      <w:r w:rsidR="00795B14">
        <w:rPr>
          <w:rFonts w:asciiTheme="minorHAnsi" w:hAnsiTheme="minorHAnsi" w:cstheme="minorHAnsi"/>
          <w:sz w:val="22"/>
        </w:rPr>
        <w:t xml:space="preserve">formulazione </w:t>
      </w:r>
      <w:r w:rsidR="00795B14" w:rsidRPr="00FE668E">
        <w:rPr>
          <w:rFonts w:asciiTheme="minorHAnsi" w:hAnsiTheme="minorHAnsi" w:cstheme="minorHAnsi"/>
          <w:sz w:val="22"/>
        </w:rPr>
        <w:t>di</w:t>
      </w:r>
      <w:r w:rsidR="000A477E" w:rsidRPr="00FE668E">
        <w:rPr>
          <w:rFonts w:asciiTheme="minorHAnsi" w:hAnsiTheme="minorHAnsi" w:cstheme="minorHAnsi"/>
          <w:sz w:val="22"/>
        </w:rPr>
        <w:t xml:space="preserve"> mobilità</w:t>
      </w:r>
      <w:r w:rsidR="00910F59">
        <w:rPr>
          <w:rFonts w:asciiTheme="minorHAnsi" w:hAnsiTheme="minorHAnsi" w:cstheme="minorHAnsi"/>
          <w:sz w:val="22"/>
        </w:rPr>
        <w:t xml:space="preserve"> </w:t>
      </w:r>
      <w:r w:rsidR="00910F59" w:rsidRPr="00FE668E">
        <w:rPr>
          <w:rFonts w:asciiTheme="minorHAnsi" w:hAnsiTheme="minorHAnsi" w:cstheme="minorHAnsi"/>
          <w:sz w:val="22"/>
        </w:rPr>
        <w:t>alternativa all’automobile</w:t>
      </w:r>
      <w:r w:rsidR="00910F59">
        <w:rPr>
          <w:rFonts w:asciiTheme="minorHAnsi" w:hAnsiTheme="minorHAnsi" w:cstheme="minorHAnsi"/>
          <w:sz w:val="22"/>
        </w:rPr>
        <w:t xml:space="preserve">. Necessaria, soprattutto, </w:t>
      </w:r>
      <w:r w:rsidR="000A477E" w:rsidRPr="00FE668E">
        <w:rPr>
          <w:rFonts w:asciiTheme="minorHAnsi" w:hAnsiTheme="minorHAnsi" w:cstheme="minorHAnsi"/>
          <w:sz w:val="22"/>
        </w:rPr>
        <w:t>un’accelerazione ne</w:t>
      </w:r>
      <w:r w:rsidR="00FE668E">
        <w:rPr>
          <w:rFonts w:asciiTheme="minorHAnsi" w:hAnsiTheme="minorHAnsi" w:cstheme="minorHAnsi"/>
          <w:sz w:val="22"/>
        </w:rPr>
        <w:t xml:space="preserve">gli </w:t>
      </w:r>
      <w:r w:rsidR="00FE668E" w:rsidRPr="00FE668E">
        <w:rPr>
          <w:rFonts w:asciiTheme="minorHAnsi" w:hAnsiTheme="minorHAnsi" w:cstheme="minorHAnsi"/>
          <w:sz w:val="22"/>
        </w:rPr>
        <w:t>investimenti</w:t>
      </w:r>
      <w:r w:rsidR="000A477E" w:rsidRPr="00FE668E">
        <w:rPr>
          <w:rFonts w:asciiTheme="minorHAnsi" w:hAnsiTheme="minorHAnsi" w:cstheme="minorHAnsi"/>
          <w:sz w:val="22"/>
        </w:rPr>
        <w:t xml:space="preserve"> </w:t>
      </w:r>
      <w:r w:rsidR="00FE668E">
        <w:rPr>
          <w:rFonts w:asciiTheme="minorHAnsi" w:hAnsiTheme="minorHAnsi" w:cstheme="minorHAnsi"/>
          <w:sz w:val="22"/>
        </w:rPr>
        <w:t>a sostegno del</w:t>
      </w:r>
      <w:r w:rsidR="000A477E" w:rsidRPr="00FE668E">
        <w:rPr>
          <w:rFonts w:asciiTheme="minorHAnsi" w:hAnsiTheme="minorHAnsi" w:cstheme="minorHAnsi"/>
          <w:sz w:val="22"/>
        </w:rPr>
        <w:t xml:space="preserve"> Traporto Pubblico Locale</w:t>
      </w:r>
      <w:r w:rsidR="00FE668E">
        <w:rPr>
          <w:rFonts w:asciiTheme="minorHAnsi" w:hAnsiTheme="minorHAnsi" w:cstheme="minorHAnsi"/>
          <w:sz w:val="22"/>
        </w:rPr>
        <w:t xml:space="preserve"> e delle </w:t>
      </w:r>
      <w:r w:rsidR="000A477E" w:rsidRPr="00FE668E">
        <w:rPr>
          <w:rFonts w:asciiTheme="minorHAnsi" w:hAnsiTheme="minorHAnsi" w:cstheme="minorHAnsi"/>
          <w:sz w:val="22"/>
        </w:rPr>
        <w:t>infrastrutture, come tram e ferrovie urbane</w:t>
      </w:r>
      <w:r w:rsidR="00910F59">
        <w:rPr>
          <w:rFonts w:asciiTheme="minorHAnsi" w:hAnsiTheme="minorHAnsi" w:cstheme="minorHAnsi"/>
          <w:sz w:val="22"/>
        </w:rPr>
        <w:t xml:space="preserve">. </w:t>
      </w:r>
      <w:r w:rsidR="000A477E" w:rsidRPr="00FE668E">
        <w:rPr>
          <w:rFonts w:asciiTheme="minorHAnsi" w:hAnsiTheme="minorHAnsi" w:cstheme="minorHAnsi"/>
          <w:sz w:val="22"/>
        </w:rPr>
        <w:t xml:space="preserve">Il nuovo governo ha </w:t>
      </w:r>
      <w:r w:rsidR="00307456">
        <w:rPr>
          <w:rFonts w:asciiTheme="minorHAnsi" w:hAnsiTheme="minorHAnsi" w:cstheme="minorHAnsi"/>
          <w:sz w:val="22"/>
        </w:rPr>
        <w:t xml:space="preserve">dunque </w:t>
      </w:r>
      <w:r w:rsidR="000A477E" w:rsidRPr="00FE668E">
        <w:rPr>
          <w:rFonts w:asciiTheme="minorHAnsi" w:hAnsiTheme="minorHAnsi" w:cstheme="minorHAnsi"/>
          <w:sz w:val="22"/>
        </w:rPr>
        <w:t xml:space="preserve">un importante sfida di fronte a sé: avviare </w:t>
      </w:r>
      <w:r w:rsidR="000A477E" w:rsidRPr="00611C13">
        <w:rPr>
          <w:rFonts w:asciiTheme="minorHAnsi" w:hAnsiTheme="minorHAnsi" w:cstheme="minorHAnsi"/>
          <w:b/>
          <w:bCs/>
          <w:sz w:val="22"/>
        </w:rPr>
        <w:t>la transizione green della mobilità del Paese</w:t>
      </w:r>
      <w:r w:rsidR="000A477E" w:rsidRPr="00FE668E">
        <w:rPr>
          <w:rFonts w:asciiTheme="minorHAnsi" w:hAnsiTheme="minorHAnsi" w:cstheme="minorHAnsi"/>
          <w:sz w:val="22"/>
        </w:rPr>
        <w:t xml:space="preserve">, adottando le linee guida </w:t>
      </w:r>
      <w:r w:rsidR="00FE668E">
        <w:rPr>
          <w:rFonts w:asciiTheme="minorHAnsi" w:hAnsiTheme="minorHAnsi" w:cstheme="minorHAnsi"/>
          <w:sz w:val="22"/>
        </w:rPr>
        <w:t xml:space="preserve">del </w:t>
      </w:r>
      <w:proofErr w:type="spellStart"/>
      <w:r w:rsidR="000A477E" w:rsidRPr="00FE668E">
        <w:rPr>
          <w:rFonts w:asciiTheme="minorHAnsi" w:hAnsiTheme="minorHAnsi" w:cstheme="minorHAnsi"/>
          <w:sz w:val="22"/>
        </w:rPr>
        <w:t>Mims</w:t>
      </w:r>
      <w:proofErr w:type="spellEnd"/>
      <w:r w:rsidR="000A477E" w:rsidRPr="00FE668E">
        <w:rPr>
          <w:rFonts w:asciiTheme="minorHAnsi" w:hAnsiTheme="minorHAnsi" w:cstheme="minorHAnsi"/>
          <w:sz w:val="22"/>
        </w:rPr>
        <w:t>”.</w:t>
      </w:r>
    </w:p>
    <w:p w14:paraId="634613DC" w14:textId="77777777" w:rsidR="004C6BD4" w:rsidRDefault="004C6BD4" w:rsidP="00AF4967">
      <w:pPr>
        <w:spacing w:after="0" w:line="240" w:lineRule="auto"/>
        <w:jc w:val="both"/>
        <w:rPr>
          <w:rFonts w:asciiTheme="minorHAnsi" w:hAnsiTheme="minorHAnsi" w:cstheme="minorHAnsi"/>
          <w:sz w:val="22"/>
        </w:rPr>
      </w:pPr>
    </w:p>
    <w:p w14:paraId="52540110" w14:textId="77777777" w:rsidR="00965C7F" w:rsidRDefault="00965C7F" w:rsidP="00AF4967">
      <w:pPr>
        <w:spacing w:after="0" w:line="240" w:lineRule="auto"/>
        <w:jc w:val="both"/>
        <w:rPr>
          <w:rFonts w:asciiTheme="minorHAnsi" w:hAnsiTheme="minorHAnsi" w:cstheme="minorHAnsi"/>
          <w:b/>
          <w:sz w:val="22"/>
        </w:rPr>
      </w:pPr>
    </w:p>
    <w:p w14:paraId="4F5EC5F1" w14:textId="24AF66D6" w:rsidR="00965C7F" w:rsidRDefault="00965C7F" w:rsidP="00AF4967">
      <w:pPr>
        <w:spacing w:after="0" w:line="240" w:lineRule="auto"/>
        <w:jc w:val="both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FOCUS PARMA E BOLOGNA</w:t>
      </w:r>
    </w:p>
    <w:p w14:paraId="04BC9241" w14:textId="414258DA" w:rsidR="00965C7F" w:rsidRDefault="00965C7F" w:rsidP="00AF4967">
      <w:pPr>
        <w:spacing w:after="0" w:line="240" w:lineRule="auto"/>
        <w:jc w:val="both"/>
        <w:rPr>
          <w:rFonts w:asciiTheme="minorHAnsi" w:hAnsiTheme="minorHAnsi" w:cstheme="minorHAnsi"/>
          <w:b/>
          <w:sz w:val="22"/>
        </w:rPr>
      </w:pPr>
    </w:p>
    <w:p w14:paraId="717FF75D" w14:textId="77777777" w:rsidR="00E351C5" w:rsidRDefault="00965C7F" w:rsidP="00AF4967">
      <w:pPr>
        <w:spacing w:after="0" w:line="240" w:lineRule="auto"/>
        <w:jc w:val="both"/>
        <w:rPr>
          <w:rFonts w:asciiTheme="minorHAnsi" w:hAnsiTheme="minorHAnsi" w:cstheme="minorHAnsi"/>
          <w:bCs/>
          <w:sz w:val="22"/>
        </w:rPr>
      </w:pPr>
      <w:r>
        <w:rPr>
          <w:rFonts w:asciiTheme="minorHAnsi" w:hAnsiTheme="minorHAnsi" w:cstheme="minorHAnsi"/>
          <w:bCs/>
          <w:sz w:val="22"/>
        </w:rPr>
        <w:t xml:space="preserve">Tra le 13 città che hanno aderito alla campagna </w:t>
      </w:r>
      <w:proofErr w:type="spellStart"/>
      <w:r>
        <w:rPr>
          <w:rFonts w:asciiTheme="minorHAnsi" w:hAnsiTheme="minorHAnsi" w:cstheme="minorHAnsi"/>
          <w:bCs/>
          <w:sz w:val="22"/>
        </w:rPr>
        <w:t>Clean</w:t>
      </w:r>
      <w:proofErr w:type="spellEnd"/>
      <w:r>
        <w:rPr>
          <w:rFonts w:asciiTheme="minorHAnsi" w:hAnsiTheme="minorHAnsi" w:cstheme="minorHAnsi"/>
          <w:bCs/>
          <w:sz w:val="22"/>
        </w:rPr>
        <w:t xml:space="preserve"> </w:t>
      </w:r>
      <w:proofErr w:type="spellStart"/>
      <w:r>
        <w:rPr>
          <w:rFonts w:asciiTheme="minorHAnsi" w:hAnsiTheme="minorHAnsi" w:cstheme="minorHAnsi"/>
          <w:bCs/>
          <w:sz w:val="22"/>
        </w:rPr>
        <w:t>Cities</w:t>
      </w:r>
      <w:proofErr w:type="spellEnd"/>
      <w:r>
        <w:rPr>
          <w:rFonts w:asciiTheme="minorHAnsi" w:hAnsiTheme="minorHAnsi" w:cstheme="minorHAnsi"/>
          <w:bCs/>
          <w:sz w:val="22"/>
        </w:rPr>
        <w:t xml:space="preserve"> troviamo anche Parma e </w:t>
      </w:r>
      <w:r w:rsidR="00F54298">
        <w:rPr>
          <w:rFonts w:asciiTheme="minorHAnsi" w:hAnsiTheme="minorHAnsi" w:cstheme="minorHAnsi"/>
          <w:bCs/>
          <w:sz w:val="22"/>
        </w:rPr>
        <w:t>B</w:t>
      </w:r>
      <w:r>
        <w:rPr>
          <w:rFonts w:asciiTheme="minorHAnsi" w:hAnsiTheme="minorHAnsi" w:cstheme="minorHAnsi"/>
          <w:bCs/>
          <w:sz w:val="22"/>
        </w:rPr>
        <w:t xml:space="preserve">ologna, entrambe firmatarie del manifesto delle 100 città </w:t>
      </w:r>
      <w:proofErr w:type="spellStart"/>
      <w:r w:rsidR="00F54298">
        <w:rPr>
          <w:rFonts w:asciiTheme="minorHAnsi" w:hAnsiTheme="minorHAnsi" w:cstheme="minorHAnsi"/>
          <w:bCs/>
          <w:sz w:val="22"/>
        </w:rPr>
        <w:t>C</w:t>
      </w:r>
      <w:r>
        <w:rPr>
          <w:rFonts w:asciiTheme="minorHAnsi" w:hAnsiTheme="minorHAnsi" w:cstheme="minorHAnsi"/>
          <w:bCs/>
          <w:sz w:val="22"/>
        </w:rPr>
        <w:t>limate</w:t>
      </w:r>
      <w:proofErr w:type="spellEnd"/>
      <w:r>
        <w:rPr>
          <w:rFonts w:asciiTheme="minorHAnsi" w:hAnsiTheme="minorHAnsi" w:cstheme="minorHAnsi"/>
          <w:bCs/>
          <w:sz w:val="22"/>
        </w:rPr>
        <w:t xml:space="preserve"> </w:t>
      </w:r>
      <w:proofErr w:type="spellStart"/>
      <w:r w:rsidR="00F54298">
        <w:rPr>
          <w:rFonts w:asciiTheme="minorHAnsi" w:hAnsiTheme="minorHAnsi" w:cstheme="minorHAnsi"/>
          <w:bCs/>
          <w:sz w:val="22"/>
        </w:rPr>
        <w:t>N</w:t>
      </w:r>
      <w:r>
        <w:rPr>
          <w:rFonts w:asciiTheme="minorHAnsi" w:hAnsiTheme="minorHAnsi" w:cstheme="minorHAnsi"/>
          <w:bCs/>
          <w:sz w:val="22"/>
        </w:rPr>
        <w:t>eutral</w:t>
      </w:r>
      <w:proofErr w:type="spellEnd"/>
      <w:r>
        <w:rPr>
          <w:rFonts w:asciiTheme="minorHAnsi" w:hAnsiTheme="minorHAnsi" w:cstheme="minorHAnsi"/>
          <w:bCs/>
          <w:sz w:val="22"/>
        </w:rPr>
        <w:t xml:space="preserve"> entro il 2030. Nonostante questa adesione però, entrambe le città vengono ammonite con il cartellino giallo per quanto </w:t>
      </w:r>
      <w:r w:rsidR="00F54298">
        <w:rPr>
          <w:rFonts w:asciiTheme="minorHAnsi" w:hAnsiTheme="minorHAnsi" w:cstheme="minorHAnsi"/>
          <w:bCs/>
          <w:sz w:val="22"/>
        </w:rPr>
        <w:t xml:space="preserve">la </w:t>
      </w:r>
      <w:r>
        <w:rPr>
          <w:rFonts w:asciiTheme="minorHAnsi" w:hAnsiTheme="minorHAnsi" w:cstheme="minorHAnsi"/>
          <w:bCs/>
          <w:sz w:val="22"/>
        </w:rPr>
        <w:t>qualità dell’aria</w:t>
      </w:r>
      <w:r w:rsidR="00F54298">
        <w:rPr>
          <w:rFonts w:asciiTheme="minorHAnsi" w:hAnsiTheme="minorHAnsi" w:cstheme="minorHAnsi"/>
          <w:bCs/>
          <w:sz w:val="22"/>
        </w:rPr>
        <w:t xml:space="preserve">. I dati della prima metà del 2022 infatti mettono in guardia sulla stagione autunnale e invernale, restituendo già un quadro critico che può solo essere aggravato nei prossimi mesi. </w:t>
      </w:r>
    </w:p>
    <w:p w14:paraId="4FB766C8" w14:textId="77777777" w:rsidR="00E351C5" w:rsidRDefault="00E351C5" w:rsidP="00AF4967">
      <w:pPr>
        <w:spacing w:after="0" w:line="240" w:lineRule="auto"/>
        <w:jc w:val="both"/>
        <w:rPr>
          <w:rFonts w:asciiTheme="minorHAnsi" w:hAnsiTheme="minorHAnsi" w:cstheme="minorHAnsi"/>
          <w:bCs/>
          <w:sz w:val="22"/>
        </w:rPr>
      </w:pPr>
    </w:p>
    <w:p w14:paraId="29578D98" w14:textId="55419329" w:rsidR="00965C7F" w:rsidRDefault="00F54298" w:rsidP="00AF4967">
      <w:pPr>
        <w:spacing w:after="0" w:line="240" w:lineRule="auto"/>
        <w:jc w:val="both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Cs/>
          <w:sz w:val="22"/>
        </w:rPr>
        <w:t xml:space="preserve">Per quanto riguarda gli sforamenti di </w:t>
      </w:r>
      <w:r w:rsidRPr="00F54298">
        <w:rPr>
          <w:rFonts w:asciiTheme="minorHAnsi" w:hAnsiTheme="minorHAnsi" w:cstheme="minorHAnsi"/>
          <w:b/>
          <w:sz w:val="22"/>
        </w:rPr>
        <w:t>PM10</w:t>
      </w:r>
      <w:r>
        <w:rPr>
          <w:rFonts w:asciiTheme="minorHAnsi" w:hAnsiTheme="minorHAnsi" w:cstheme="minorHAnsi"/>
          <w:bCs/>
          <w:sz w:val="22"/>
        </w:rPr>
        <w:t xml:space="preserve">, sia Bologna che Parma si avvicinano pericolosamente </w:t>
      </w:r>
      <w:r w:rsidR="00E351C5">
        <w:rPr>
          <w:rFonts w:asciiTheme="minorHAnsi" w:hAnsiTheme="minorHAnsi" w:cstheme="minorHAnsi"/>
          <w:bCs/>
          <w:sz w:val="22"/>
        </w:rPr>
        <w:t>alla soglia</w:t>
      </w:r>
      <w:r>
        <w:rPr>
          <w:rFonts w:asciiTheme="minorHAnsi" w:hAnsiTheme="minorHAnsi" w:cstheme="minorHAnsi"/>
          <w:bCs/>
          <w:sz w:val="22"/>
        </w:rPr>
        <w:t xml:space="preserve"> delle 35 giornate di </w:t>
      </w:r>
      <w:r w:rsidR="00E351C5">
        <w:rPr>
          <w:rFonts w:asciiTheme="minorHAnsi" w:hAnsiTheme="minorHAnsi" w:cstheme="minorHAnsi"/>
          <w:bCs/>
          <w:sz w:val="22"/>
        </w:rPr>
        <w:t>sforamento</w:t>
      </w:r>
      <w:r>
        <w:rPr>
          <w:rFonts w:asciiTheme="minorHAnsi" w:hAnsiTheme="minorHAnsi" w:cstheme="minorHAnsi"/>
          <w:bCs/>
          <w:sz w:val="22"/>
        </w:rPr>
        <w:t xml:space="preserve"> dei limiti consentiti per legge</w:t>
      </w:r>
      <w:r w:rsidR="00E351C5">
        <w:rPr>
          <w:rFonts w:asciiTheme="minorHAnsi" w:hAnsiTheme="minorHAnsi" w:cstheme="minorHAnsi"/>
          <w:bCs/>
          <w:sz w:val="22"/>
        </w:rPr>
        <w:t xml:space="preserve">, con rispettivamente </w:t>
      </w:r>
      <w:r w:rsidR="00E351C5" w:rsidRPr="00E351C5">
        <w:rPr>
          <w:rFonts w:asciiTheme="minorHAnsi" w:hAnsiTheme="minorHAnsi" w:cstheme="minorHAnsi"/>
          <w:b/>
          <w:sz w:val="22"/>
        </w:rPr>
        <w:t>17 e 25 giornate di sforamento</w:t>
      </w:r>
      <w:r w:rsidR="00E351C5">
        <w:rPr>
          <w:rFonts w:asciiTheme="minorHAnsi" w:hAnsiTheme="minorHAnsi" w:cstheme="minorHAnsi"/>
          <w:b/>
          <w:sz w:val="22"/>
        </w:rPr>
        <w:t xml:space="preserve"> della media </w:t>
      </w:r>
      <w:r w:rsidR="00E351C5" w:rsidRPr="00E351C5">
        <w:rPr>
          <w:rFonts w:asciiTheme="minorHAnsi" w:hAnsiTheme="minorHAnsi" w:cstheme="minorHAnsi"/>
          <w:b/>
          <w:sz w:val="22"/>
        </w:rPr>
        <w:t xml:space="preserve">giornaliera di 50 </w:t>
      </w:r>
      <w:proofErr w:type="spellStart"/>
      <w:r w:rsidR="00E351C5" w:rsidRPr="00E351C5">
        <w:rPr>
          <w:rFonts w:asciiTheme="minorHAnsi" w:hAnsiTheme="minorHAnsi" w:cstheme="minorHAnsi"/>
          <w:b/>
        </w:rPr>
        <w:t>μg</w:t>
      </w:r>
      <w:proofErr w:type="spellEnd"/>
      <w:r w:rsidR="00E351C5" w:rsidRPr="00E351C5">
        <w:rPr>
          <w:rFonts w:asciiTheme="minorHAnsi" w:hAnsiTheme="minorHAnsi" w:cstheme="minorHAnsi"/>
          <w:b/>
        </w:rPr>
        <w:t>/m</w:t>
      </w:r>
      <w:r w:rsidR="00E351C5" w:rsidRPr="00E351C5">
        <w:rPr>
          <w:rFonts w:asciiTheme="minorHAnsi" w:hAnsiTheme="minorHAnsi" w:cstheme="minorHAnsi"/>
          <w:b/>
          <w:vertAlign w:val="superscript"/>
        </w:rPr>
        <w:t>3</w:t>
      </w:r>
      <w:r w:rsidR="00E351C5" w:rsidRPr="00E351C5">
        <w:rPr>
          <w:b/>
          <w:vertAlign w:val="superscript"/>
        </w:rPr>
        <w:t xml:space="preserve"> </w:t>
      </w:r>
      <w:r w:rsidR="00E351C5" w:rsidRPr="00E351C5">
        <w:rPr>
          <w:rFonts w:asciiTheme="minorHAnsi" w:hAnsiTheme="minorHAnsi" w:cstheme="minorHAnsi"/>
          <w:b/>
          <w:sz w:val="22"/>
        </w:rPr>
        <w:t>nella prima metà del 2022</w:t>
      </w:r>
      <w:r w:rsidR="00E351C5">
        <w:rPr>
          <w:rFonts w:asciiTheme="minorHAnsi" w:hAnsiTheme="minorHAnsi" w:cstheme="minorHAnsi"/>
          <w:b/>
          <w:sz w:val="22"/>
        </w:rPr>
        <w:t>.</w:t>
      </w:r>
    </w:p>
    <w:p w14:paraId="0F6BA5E1" w14:textId="274155C7" w:rsidR="00E351C5" w:rsidRPr="00E351C5" w:rsidRDefault="00E351C5" w:rsidP="00E351C5">
      <w:pPr>
        <w:spacing w:after="0" w:line="240" w:lineRule="auto"/>
        <w:jc w:val="both"/>
        <w:rPr>
          <w:rFonts w:asciiTheme="minorHAnsi" w:hAnsiTheme="minorHAnsi" w:cstheme="minorHAnsi"/>
          <w:bCs/>
          <w:sz w:val="22"/>
        </w:rPr>
      </w:pPr>
      <w:r>
        <w:rPr>
          <w:rFonts w:asciiTheme="minorHAnsi" w:hAnsiTheme="minorHAnsi" w:cstheme="minorHAnsi"/>
          <w:bCs/>
          <w:sz w:val="22"/>
        </w:rPr>
        <w:br/>
      </w:r>
      <w:r w:rsidRPr="00E351C5">
        <w:rPr>
          <w:rFonts w:asciiTheme="minorHAnsi" w:hAnsiTheme="minorHAnsi" w:cstheme="minorHAnsi"/>
          <w:bCs/>
          <w:sz w:val="22"/>
        </w:rPr>
        <w:t>La tabella riportata di seguito valuta l’eccedenza dei parametri PM10, PM 2.5 e NO</w:t>
      </w:r>
      <w:r w:rsidRPr="00E351C5">
        <w:rPr>
          <w:rFonts w:asciiTheme="minorHAnsi" w:hAnsiTheme="minorHAnsi" w:cstheme="minorHAnsi"/>
          <w:bCs/>
          <w:sz w:val="22"/>
          <w:vertAlign w:val="superscript"/>
        </w:rPr>
        <w:t>2</w:t>
      </w:r>
      <w:r>
        <w:rPr>
          <w:rFonts w:asciiTheme="minorHAnsi" w:hAnsiTheme="minorHAnsi" w:cstheme="minorHAnsi"/>
          <w:bCs/>
          <w:sz w:val="22"/>
          <w:vertAlign w:val="superscript"/>
        </w:rPr>
        <w:t xml:space="preserve"> </w:t>
      </w:r>
      <w:r>
        <w:rPr>
          <w:rFonts w:asciiTheme="minorHAnsi" w:hAnsiTheme="minorHAnsi" w:cstheme="minorHAnsi"/>
          <w:bCs/>
          <w:sz w:val="22"/>
        </w:rPr>
        <w:t xml:space="preserve">in percentuale rispetto alla soglia imposta dall’OMS per il primo periodo del 2022. </w:t>
      </w:r>
    </w:p>
    <w:tbl>
      <w:tblPr>
        <w:tblpPr w:leftFromText="141" w:rightFromText="141" w:vertAnchor="text" w:horzAnchor="margin" w:tblpXSpec="center" w:tblpY="187"/>
        <w:tblW w:w="75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3"/>
        <w:gridCol w:w="1893"/>
        <w:gridCol w:w="1893"/>
        <w:gridCol w:w="1893"/>
      </w:tblGrid>
      <w:tr w:rsidR="00E351C5" w:rsidRPr="00F54298" w14:paraId="727F4FBB" w14:textId="77777777" w:rsidTr="00E351C5">
        <w:trPr>
          <w:trHeight w:val="377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B7F3E" w14:textId="77777777" w:rsidR="00E351C5" w:rsidRPr="00F54298" w:rsidRDefault="00E351C5" w:rsidP="00E351C5">
            <w:pPr>
              <w:spacing w:after="0" w:line="240" w:lineRule="auto"/>
              <w:rPr>
                <w:rFonts w:eastAsia="Times New Roman" w:cs="Times New Roman"/>
                <w:sz w:val="22"/>
                <w:lang w:eastAsia="it-IT"/>
              </w:rPr>
            </w:pPr>
            <w:r w:rsidRPr="00F54298">
              <w:rPr>
                <w:rFonts w:ascii="Barlow-ExtraBoldItalic" w:eastAsia="Times New Roman" w:hAnsi="Barlow-ExtraBoldItalic" w:cs="Times New Roman"/>
                <w:b/>
                <w:bCs/>
                <w:i/>
                <w:iCs/>
                <w:color w:val="AB58A2"/>
                <w:sz w:val="22"/>
                <w:lang w:eastAsia="it-IT"/>
              </w:rPr>
              <w:t xml:space="preserve">CITTÀ 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D4FFC" w14:textId="77777777" w:rsidR="00E351C5" w:rsidRPr="00F54298" w:rsidRDefault="00E351C5" w:rsidP="00E351C5">
            <w:pPr>
              <w:spacing w:after="0" w:line="240" w:lineRule="auto"/>
              <w:rPr>
                <w:rFonts w:eastAsia="Times New Roman" w:cs="Times New Roman"/>
                <w:sz w:val="22"/>
                <w:lang w:eastAsia="it-IT"/>
              </w:rPr>
            </w:pPr>
            <w:r w:rsidRPr="00F54298">
              <w:rPr>
                <w:rFonts w:ascii="Barlow-ExtraBoldItalic" w:eastAsia="Times New Roman" w:hAnsi="Barlow-ExtraBoldItalic" w:cs="Times New Roman"/>
                <w:b/>
                <w:bCs/>
                <w:i/>
                <w:iCs/>
                <w:color w:val="AB58A2"/>
                <w:sz w:val="22"/>
                <w:lang w:eastAsia="it-IT"/>
              </w:rPr>
              <w:t>ECCEDENZA</w:t>
            </w:r>
            <w:r w:rsidRPr="00F54298">
              <w:rPr>
                <w:rFonts w:ascii="Barlow-ExtraBoldItalic" w:eastAsia="Times New Roman" w:hAnsi="Barlow-ExtraBoldItalic" w:cs="Times New Roman"/>
                <w:b/>
                <w:bCs/>
                <w:i/>
                <w:iCs/>
                <w:color w:val="AB58A2"/>
                <w:sz w:val="22"/>
                <w:lang w:eastAsia="it-IT"/>
              </w:rPr>
              <w:br/>
              <w:t>PM10 VS OMS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21D96" w14:textId="77777777" w:rsidR="00E351C5" w:rsidRPr="00F54298" w:rsidRDefault="00E351C5" w:rsidP="00E351C5">
            <w:pPr>
              <w:spacing w:after="0" w:line="240" w:lineRule="auto"/>
              <w:rPr>
                <w:rFonts w:eastAsia="Times New Roman" w:cs="Times New Roman"/>
                <w:sz w:val="22"/>
                <w:lang w:eastAsia="it-IT"/>
              </w:rPr>
            </w:pPr>
            <w:r w:rsidRPr="00F54298">
              <w:rPr>
                <w:rFonts w:ascii="Barlow-ExtraBoldItalic" w:eastAsia="Times New Roman" w:hAnsi="Barlow-ExtraBoldItalic" w:cs="Times New Roman"/>
                <w:b/>
                <w:bCs/>
                <w:i/>
                <w:iCs/>
                <w:color w:val="AB58A2"/>
                <w:sz w:val="22"/>
                <w:lang w:eastAsia="it-IT"/>
              </w:rPr>
              <w:t>ECCEDENZA</w:t>
            </w:r>
            <w:r w:rsidRPr="00F54298">
              <w:rPr>
                <w:rFonts w:ascii="Barlow-ExtraBoldItalic" w:eastAsia="Times New Roman" w:hAnsi="Barlow-ExtraBoldItalic" w:cs="Times New Roman"/>
                <w:b/>
                <w:bCs/>
                <w:i/>
                <w:iCs/>
                <w:color w:val="AB58A2"/>
                <w:sz w:val="22"/>
                <w:lang w:eastAsia="it-IT"/>
              </w:rPr>
              <w:br/>
              <w:t>PM2.5 VS OMS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5CF52" w14:textId="77777777" w:rsidR="00E351C5" w:rsidRPr="00F54298" w:rsidRDefault="00E351C5" w:rsidP="00E351C5">
            <w:pPr>
              <w:spacing w:after="0" w:line="240" w:lineRule="auto"/>
              <w:rPr>
                <w:rFonts w:eastAsia="Times New Roman" w:cs="Times New Roman"/>
                <w:sz w:val="22"/>
                <w:lang w:eastAsia="it-IT"/>
              </w:rPr>
            </w:pPr>
            <w:r w:rsidRPr="00F54298">
              <w:rPr>
                <w:rFonts w:ascii="Barlow-ExtraBoldItalic" w:eastAsia="Times New Roman" w:hAnsi="Barlow-ExtraBoldItalic" w:cs="Times New Roman"/>
                <w:b/>
                <w:bCs/>
                <w:i/>
                <w:iCs/>
                <w:color w:val="AB58A2"/>
                <w:sz w:val="22"/>
                <w:lang w:eastAsia="it-IT"/>
              </w:rPr>
              <w:t>ECCEDENZA</w:t>
            </w:r>
            <w:r w:rsidRPr="00F54298">
              <w:rPr>
                <w:rFonts w:ascii="Barlow-ExtraBoldItalic" w:eastAsia="Times New Roman" w:hAnsi="Barlow-ExtraBoldItalic" w:cs="Times New Roman"/>
                <w:b/>
                <w:bCs/>
                <w:i/>
                <w:iCs/>
                <w:color w:val="AB58A2"/>
                <w:sz w:val="22"/>
                <w:lang w:eastAsia="it-IT"/>
              </w:rPr>
              <w:br/>
              <w:t>NO</w:t>
            </w:r>
            <w:r w:rsidRPr="00F54298">
              <w:rPr>
                <w:rFonts w:ascii="Barlow-ExtraBoldItalic" w:eastAsia="Times New Roman" w:hAnsi="Barlow-ExtraBoldItalic" w:cs="Times New Roman"/>
                <w:b/>
                <w:bCs/>
                <w:i/>
                <w:iCs/>
                <w:color w:val="AB58A2"/>
                <w:sz w:val="22"/>
                <w:lang w:eastAsia="it-IT"/>
              </w:rPr>
              <w:br/>
              <w:t>2 VS OMS</w:t>
            </w:r>
          </w:p>
        </w:tc>
      </w:tr>
      <w:tr w:rsidR="00E351C5" w:rsidRPr="00F54298" w14:paraId="2523F912" w14:textId="77777777" w:rsidTr="00E351C5">
        <w:trPr>
          <w:trHeight w:val="377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2BC10" w14:textId="77777777" w:rsidR="00E351C5" w:rsidRPr="00E351C5" w:rsidRDefault="00E351C5" w:rsidP="00E351C5">
            <w:pPr>
              <w:spacing w:after="0" w:line="240" w:lineRule="auto"/>
              <w:rPr>
                <w:rFonts w:ascii="Barlow-ExtraBoldItalic" w:eastAsia="Times New Roman" w:hAnsi="Barlow-ExtraBoldItalic" w:cs="Times New Roman"/>
                <w:b/>
                <w:bCs/>
                <w:i/>
                <w:iCs/>
                <w:color w:val="AB58A2"/>
                <w:sz w:val="22"/>
                <w:lang w:eastAsia="it-IT"/>
              </w:rPr>
            </w:pPr>
            <w:r w:rsidRPr="00F54298">
              <w:rPr>
                <w:rFonts w:ascii="Barlow-ExtraBoldItalic" w:eastAsia="Times New Roman" w:hAnsi="Barlow-ExtraBoldItalic" w:cs="Times New Roman"/>
                <w:b/>
                <w:bCs/>
                <w:i/>
                <w:iCs/>
                <w:color w:val="AB58A2"/>
                <w:sz w:val="22"/>
                <w:lang w:eastAsia="it-IT"/>
              </w:rPr>
              <w:t>BOLOGNA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5607E" w14:textId="77777777" w:rsidR="00E351C5" w:rsidRPr="00E351C5" w:rsidRDefault="00E351C5" w:rsidP="00E351C5">
            <w:pPr>
              <w:spacing w:after="0" w:line="240" w:lineRule="auto"/>
              <w:rPr>
                <w:rFonts w:ascii="Barlow-ExtraBoldItalic" w:eastAsia="Times New Roman" w:hAnsi="Barlow-ExtraBoldItalic" w:cs="Times New Roman"/>
                <w:b/>
                <w:bCs/>
                <w:i/>
                <w:iCs/>
                <w:color w:val="AB58A2"/>
                <w:sz w:val="22"/>
                <w:lang w:eastAsia="it-IT"/>
              </w:rPr>
            </w:pPr>
            <w:r w:rsidRPr="00F54298">
              <w:rPr>
                <w:rFonts w:ascii="Barlow-MediumItalic" w:eastAsia="Times New Roman" w:hAnsi="Barlow-MediumItalic" w:cs="Times New Roman"/>
                <w:i/>
                <w:iCs/>
                <w:color w:val="242021"/>
                <w:sz w:val="22"/>
                <w:lang w:eastAsia="it-IT"/>
              </w:rPr>
              <w:t xml:space="preserve">+58% 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3A1D5" w14:textId="77777777" w:rsidR="00E351C5" w:rsidRPr="00E351C5" w:rsidRDefault="00E351C5" w:rsidP="00E351C5">
            <w:pPr>
              <w:spacing w:after="0" w:line="240" w:lineRule="auto"/>
              <w:rPr>
                <w:rFonts w:ascii="Barlow-ExtraBoldItalic" w:eastAsia="Times New Roman" w:hAnsi="Barlow-ExtraBoldItalic" w:cs="Times New Roman"/>
                <w:b/>
                <w:bCs/>
                <w:i/>
                <w:iCs/>
                <w:color w:val="AB58A2"/>
                <w:sz w:val="22"/>
                <w:lang w:eastAsia="it-IT"/>
              </w:rPr>
            </w:pPr>
            <w:r w:rsidRPr="00F54298">
              <w:rPr>
                <w:rFonts w:ascii="Barlow-MediumItalic" w:eastAsia="Times New Roman" w:hAnsi="Barlow-MediumItalic" w:cs="Times New Roman"/>
                <w:i/>
                <w:iCs/>
                <w:color w:val="242021"/>
                <w:sz w:val="22"/>
                <w:lang w:eastAsia="it-IT"/>
              </w:rPr>
              <w:t>+200%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43CFA" w14:textId="77777777" w:rsidR="00E351C5" w:rsidRPr="00E351C5" w:rsidRDefault="00E351C5" w:rsidP="00E351C5">
            <w:pPr>
              <w:spacing w:after="0" w:line="240" w:lineRule="auto"/>
              <w:rPr>
                <w:rFonts w:ascii="Barlow-ExtraBoldItalic" w:eastAsia="Times New Roman" w:hAnsi="Barlow-ExtraBoldItalic" w:cs="Times New Roman"/>
                <w:b/>
                <w:bCs/>
                <w:i/>
                <w:iCs/>
                <w:color w:val="AB58A2"/>
                <w:sz w:val="22"/>
                <w:lang w:eastAsia="it-IT"/>
              </w:rPr>
            </w:pPr>
            <w:r w:rsidRPr="00F54298">
              <w:rPr>
                <w:rFonts w:ascii="Barlow-MediumItalic" w:eastAsia="Times New Roman" w:hAnsi="Barlow-MediumItalic" w:cs="Times New Roman"/>
                <w:i/>
                <w:iCs/>
                <w:color w:val="242021"/>
                <w:sz w:val="22"/>
                <w:lang w:eastAsia="it-IT"/>
              </w:rPr>
              <w:t>+130%</w:t>
            </w:r>
          </w:p>
        </w:tc>
      </w:tr>
      <w:tr w:rsidR="00E351C5" w:rsidRPr="00F54298" w14:paraId="2F8348AF" w14:textId="77777777" w:rsidTr="00E351C5">
        <w:trPr>
          <w:trHeight w:val="377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6EE7E" w14:textId="77777777" w:rsidR="00E351C5" w:rsidRPr="00E351C5" w:rsidRDefault="00E351C5" w:rsidP="00E351C5">
            <w:pPr>
              <w:spacing w:after="0" w:line="240" w:lineRule="auto"/>
              <w:rPr>
                <w:rFonts w:ascii="Barlow-ExtraBoldItalic" w:eastAsia="Times New Roman" w:hAnsi="Barlow-ExtraBoldItalic" w:cs="Times New Roman"/>
                <w:b/>
                <w:bCs/>
                <w:i/>
                <w:iCs/>
                <w:color w:val="AB58A2"/>
                <w:sz w:val="22"/>
                <w:lang w:eastAsia="it-IT"/>
              </w:rPr>
            </w:pPr>
            <w:r w:rsidRPr="00F54298">
              <w:rPr>
                <w:rFonts w:ascii="Barlow-ExtraBoldItalic" w:eastAsia="Times New Roman" w:hAnsi="Barlow-ExtraBoldItalic" w:cs="Times New Roman"/>
                <w:b/>
                <w:bCs/>
                <w:i/>
                <w:iCs/>
                <w:color w:val="AB58A2"/>
                <w:sz w:val="22"/>
                <w:lang w:eastAsia="it-IT"/>
              </w:rPr>
              <w:t>PARMA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85880" w14:textId="77777777" w:rsidR="00E351C5" w:rsidRPr="00E351C5" w:rsidRDefault="00E351C5" w:rsidP="00E351C5">
            <w:pPr>
              <w:spacing w:after="0" w:line="240" w:lineRule="auto"/>
              <w:rPr>
                <w:rFonts w:ascii="Barlow-ExtraBoldItalic" w:eastAsia="Times New Roman" w:hAnsi="Barlow-ExtraBoldItalic" w:cs="Times New Roman"/>
                <w:b/>
                <w:bCs/>
                <w:i/>
                <w:iCs/>
                <w:color w:val="AB58A2"/>
                <w:sz w:val="22"/>
                <w:lang w:eastAsia="it-IT"/>
              </w:rPr>
            </w:pPr>
            <w:r w:rsidRPr="00F54298">
              <w:rPr>
                <w:rFonts w:ascii="Barlow-MediumItalic" w:eastAsia="Times New Roman" w:hAnsi="Barlow-MediumItalic" w:cs="Times New Roman"/>
                <w:i/>
                <w:iCs/>
                <w:color w:val="242021"/>
                <w:sz w:val="22"/>
                <w:lang w:eastAsia="it-IT"/>
              </w:rPr>
              <w:t>+84%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802BD" w14:textId="77777777" w:rsidR="00E351C5" w:rsidRPr="00E351C5" w:rsidRDefault="00E351C5" w:rsidP="00E351C5">
            <w:pPr>
              <w:spacing w:after="0" w:line="240" w:lineRule="auto"/>
              <w:rPr>
                <w:rFonts w:ascii="Barlow-ExtraBoldItalic" w:eastAsia="Times New Roman" w:hAnsi="Barlow-ExtraBoldItalic" w:cs="Times New Roman"/>
                <w:b/>
                <w:bCs/>
                <w:i/>
                <w:iCs/>
                <w:color w:val="AB58A2"/>
                <w:sz w:val="22"/>
                <w:lang w:eastAsia="it-IT"/>
              </w:rPr>
            </w:pPr>
            <w:r w:rsidRPr="00F54298">
              <w:rPr>
                <w:rFonts w:ascii="Barlow-MediumItalic" w:eastAsia="Times New Roman" w:hAnsi="Barlow-MediumItalic" w:cs="Times New Roman"/>
                <w:i/>
                <w:iCs/>
                <w:color w:val="242021"/>
                <w:sz w:val="22"/>
                <w:lang w:eastAsia="it-IT"/>
              </w:rPr>
              <w:t>+210%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DD723" w14:textId="77777777" w:rsidR="00E351C5" w:rsidRPr="00E351C5" w:rsidRDefault="00E351C5" w:rsidP="00E351C5">
            <w:pPr>
              <w:spacing w:after="0" w:line="240" w:lineRule="auto"/>
              <w:rPr>
                <w:rFonts w:ascii="Barlow-ExtraBoldItalic" w:eastAsia="Times New Roman" w:hAnsi="Barlow-ExtraBoldItalic" w:cs="Times New Roman"/>
                <w:b/>
                <w:bCs/>
                <w:i/>
                <w:iCs/>
                <w:color w:val="AB58A2"/>
                <w:sz w:val="22"/>
                <w:lang w:eastAsia="it-IT"/>
              </w:rPr>
            </w:pPr>
            <w:r w:rsidRPr="00F54298">
              <w:rPr>
                <w:rFonts w:ascii="Barlow-MediumItalic" w:eastAsia="Times New Roman" w:hAnsi="Barlow-MediumItalic" w:cs="Times New Roman"/>
                <w:i/>
                <w:iCs/>
                <w:color w:val="242021"/>
                <w:sz w:val="22"/>
                <w:lang w:eastAsia="it-IT"/>
              </w:rPr>
              <w:t>+97%</w:t>
            </w:r>
          </w:p>
        </w:tc>
      </w:tr>
    </w:tbl>
    <w:p w14:paraId="03973699" w14:textId="5B163B3C" w:rsidR="00F54298" w:rsidRDefault="00F54298" w:rsidP="00AF4967">
      <w:pPr>
        <w:spacing w:after="0" w:line="240" w:lineRule="auto"/>
        <w:jc w:val="both"/>
        <w:rPr>
          <w:rFonts w:asciiTheme="minorHAnsi" w:hAnsiTheme="minorHAnsi" w:cstheme="minorHAnsi"/>
          <w:bCs/>
          <w:sz w:val="22"/>
        </w:rPr>
      </w:pPr>
    </w:p>
    <w:p w14:paraId="201399EC" w14:textId="64B29356" w:rsidR="00A46372" w:rsidRDefault="00A46372" w:rsidP="00AF4967">
      <w:pPr>
        <w:spacing w:after="0" w:line="240" w:lineRule="auto"/>
        <w:jc w:val="both"/>
        <w:rPr>
          <w:rFonts w:asciiTheme="minorHAnsi" w:hAnsiTheme="minorHAnsi" w:cstheme="minorHAnsi"/>
          <w:sz w:val="22"/>
        </w:rPr>
      </w:pPr>
    </w:p>
    <w:p w14:paraId="31CB462D" w14:textId="77777777" w:rsidR="00A46372" w:rsidRPr="00A05F9F" w:rsidRDefault="00A46372" w:rsidP="00AF4967">
      <w:pPr>
        <w:spacing w:after="0" w:line="240" w:lineRule="auto"/>
        <w:jc w:val="both"/>
        <w:rPr>
          <w:rFonts w:asciiTheme="minorHAnsi" w:hAnsiTheme="minorHAnsi" w:cstheme="minorHAnsi"/>
          <w:sz w:val="22"/>
        </w:rPr>
      </w:pPr>
    </w:p>
    <w:bookmarkEnd w:id="3"/>
    <w:p w14:paraId="376D6268" w14:textId="77777777" w:rsidR="00E351C5" w:rsidRDefault="00E351C5" w:rsidP="004C6BD4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2"/>
        </w:rPr>
      </w:pPr>
    </w:p>
    <w:p w14:paraId="0D6915E4" w14:textId="77777777" w:rsidR="00E351C5" w:rsidRDefault="00E351C5" w:rsidP="004C6BD4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2"/>
        </w:rPr>
      </w:pPr>
    </w:p>
    <w:p w14:paraId="37941F51" w14:textId="77777777" w:rsidR="00E351C5" w:rsidRDefault="00E351C5" w:rsidP="004C6BD4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2"/>
        </w:rPr>
      </w:pPr>
    </w:p>
    <w:p w14:paraId="4969710C" w14:textId="77777777" w:rsidR="00E351C5" w:rsidRDefault="00E351C5" w:rsidP="004C6BD4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2"/>
        </w:rPr>
      </w:pPr>
    </w:p>
    <w:p w14:paraId="64EB9819" w14:textId="77777777" w:rsidR="00E351C5" w:rsidRDefault="00E351C5" w:rsidP="004C6BD4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2"/>
        </w:rPr>
      </w:pPr>
    </w:p>
    <w:p w14:paraId="59161211" w14:textId="6D22A39C" w:rsidR="004C6BD4" w:rsidRDefault="00E416E1" w:rsidP="004C6BD4">
      <w:pPr>
        <w:spacing w:after="0" w:line="240" w:lineRule="auto"/>
        <w:jc w:val="both"/>
        <w:rPr>
          <w:rFonts w:asciiTheme="minorHAnsi" w:hAnsiTheme="minorHAnsi" w:cstheme="minorHAnsi"/>
          <w:sz w:val="22"/>
        </w:rPr>
      </w:pPr>
      <w:r w:rsidRPr="00AF4967">
        <w:rPr>
          <w:rFonts w:asciiTheme="minorHAnsi" w:hAnsiTheme="minorHAnsi" w:cstheme="minorHAnsi"/>
          <w:b/>
          <w:bCs/>
          <w:sz w:val="22"/>
        </w:rPr>
        <w:t>Verso una mobilità pulita.</w:t>
      </w:r>
      <w:r w:rsidR="004A7796" w:rsidRPr="00AF4967">
        <w:rPr>
          <w:rFonts w:asciiTheme="minorHAnsi" w:hAnsiTheme="minorHAnsi" w:cstheme="minorHAnsi"/>
          <w:b/>
          <w:bCs/>
          <w:sz w:val="22"/>
        </w:rPr>
        <w:t xml:space="preserve"> </w:t>
      </w:r>
      <w:r w:rsidR="004C6BD4" w:rsidRPr="00916370">
        <w:rPr>
          <w:rFonts w:asciiTheme="minorHAnsi" w:hAnsiTheme="minorHAnsi" w:cstheme="minorHAnsi"/>
          <w:bCs/>
          <w:sz w:val="22"/>
        </w:rPr>
        <w:t>Per ridurre</w:t>
      </w:r>
      <w:r w:rsidR="004C6BD4">
        <w:rPr>
          <w:rFonts w:asciiTheme="minorHAnsi" w:hAnsiTheme="minorHAnsi" w:cstheme="minorHAnsi"/>
          <w:b/>
          <w:bCs/>
          <w:sz w:val="22"/>
        </w:rPr>
        <w:t xml:space="preserve"> </w:t>
      </w:r>
      <w:r w:rsidR="004C6BD4" w:rsidRPr="00AF4967">
        <w:rPr>
          <w:rFonts w:asciiTheme="minorHAnsi" w:hAnsiTheme="minorHAnsi" w:cstheme="minorHAnsi"/>
          <w:sz w:val="22"/>
        </w:rPr>
        <w:t>le emissioni inqu</w:t>
      </w:r>
      <w:r w:rsidR="00916370">
        <w:rPr>
          <w:rFonts w:asciiTheme="minorHAnsi" w:hAnsiTheme="minorHAnsi" w:cstheme="minorHAnsi"/>
          <w:sz w:val="22"/>
        </w:rPr>
        <w:t xml:space="preserve">inanti o climalteranti, </w:t>
      </w:r>
      <w:r w:rsidR="004C6BD4">
        <w:rPr>
          <w:rFonts w:asciiTheme="minorHAnsi" w:hAnsiTheme="minorHAnsi" w:cstheme="minorHAnsi"/>
          <w:sz w:val="22"/>
        </w:rPr>
        <w:t xml:space="preserve">Legambiente propone i seguenti strumenti: </w:t>
      </w:r>
    </w:p>
    <w:p w14:paraId="752C08EE" w14:textId="356AE4D7" w:rsidR="00E416E1" w:rsidRPr="00DD0581" w:rsidRDefault="00DD0581" w:rsidP="00DD0581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la riduzione dei </w:t>
      </w:r>
      <w:r>
        <w:rPr>
          <w:rFonts w:asciiTheme="minorHAnsi" w:hAnsiTheme="minorHAnsi" w:cstheme="minorHAnsi"/>
          <w:b/>
          <w:bCs/>
          <w:sz w:val="22"/>
        </w:rPr>
        <w:t xml:space="preserve">limiti velocità </w:t>
      </w:r>
      <w:r>
        <w:rPr>
          <w:rFonts w:asciiTheme="minorHAnsi" w:hAnsiTheme="minorHAnsi" w:cstheme="minorHAnsi"/>
          <w:sz w:val="22"/>
        </w:rPr>
        <w:t>nelle autostrade da 130 a 100 km/h. Una misura immediata che consentirebbe la riduzione sia delle emissioni di CO2 del 20% sia del NO2 del 40%;</w:t>
      </w:r>
    </w:p>
    <w:p w14:paraId="355F79B7" w14:textId="06D86A35" w:rsidR="00E416E1" w:rsidRPr="00AF4967" w:rsidRDefault="00E416E1" w:rsidP="00AF4967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  <w:color w:val="FF0000"/>
          <w:sz w:val="22"/>
        </w:rPr>
      </w:pPr>
      <w:r w:rsidRPr="00AF4967">
        <w:rPr>
          <w:rFonts w:asciiTheme="minorHAnsi" w:hAnsiTheme="minorHAnsi" w:cstheme="minorHAnsi"/>
          <w:sz w:val="22"/>
        </w:rPr>
        <w:t xml:space="preserve">il potenziamento dell’offerta di mobilità pubblica, anche e soprattutto del </w:t>
      </w:r>
      <w:r w:rsidRPr="00AF4967">
        <w:rPr>
          <w:rFonts w:asciiTheme="minorHAnsi" w:hAnsiTheme="minorHAnsi" w:cstheme="minorHAnsi"/>
          <w:b/>
          <w:bCs/>
          <w:sz w:val="22"/>
        </w:rPr>
        <w:t>Trasporto Rapido di Massa.</w:t>
      </w:r>
      <w:r w:rsidRPr="00AF4967">
        <w:rPr>
          <w:rFonts w:asciiTheme="minorHAnsi" w:hAnsiTheme="minorHAnsi" w:cstheme="minorHAnsi"/>
          <w:sz w:val="22"/>
        </w:rPr>
        <w:t xml:space="preserve"> Il </w:t>
      </w:r>
      <w:proofErr w:type="spellStart"/>
      <w:r w:rsidRPr="00AF4967">
        <w:rPr>
          <w:rFonts w:asciiTheme="minorHAnsi" w:hAnsiTheme="minorHAnsi" w:cstheme="minorHAnsi"/>
          <w:sz w:val="22"/>
        </w:rPr>
        <w:t>Pnrr</w:t>
      </w:r>
      <w:proofErr w:type="spellEnd"/>
      <w:r w:rsidRPr="00AF4967">
        <w:rPr>
          <w:rFonts w:asciiTheme="minorHAnsi" w:hAnsiTheme="minorHAnsi" w:cstheme="minorHAnsi"/>
          <w:sz w:val="22"/>
        </w:rPr>
        <w:t xml:space="preserve"> che si propone di realizzare oltre 200 km di rete di TRM – 11 km di metropolitane, 85 km di tram, 120 di filovie – è un inizio: per colmare il divario con il resto d’Europa, occorrono altri 200 km di metropolitane (o ferrovie urbane), 400 km di tram e altrettanti di filovie</w:t>
      </w:r>
      <w:r w:rsidR="00B04F31" w:rsidRPr="00AF4967">
        <w:rPr>
          <w:rFonts w:asciiTheme="minorHAnsi" w:hAnsiTheme="minorHAnsi" w:cstheme="minorHAnsi"/>
          <w:sz w:val="22"/>
        </w:rPr>
        <w:t>;</w:t>
      </w:r>
    </w:p>
    <w:p w14:paraId="2ACD20A6" w14:textId="0010CF2C" w:rsidR="00E416E1" w:rsidRPr="00AF4967" w:rsidRDefault="00E416E1" w:rsidP="00AF4967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  <w:color w:val="FF0000"/>
          <w:sz w:val="22"/>
        </w:rPr>
      </w:pPr>
      <w:r w:rsidRPr="00AF4967">
        <w:rPr>
          <w:rFonts w:asciiTheme="minorHAnsi" w:hAnsiTheme="minorHAnsi" w:cstheme="minorHAnsi"/>
          <w:b/>
          <w:bCs/>
          <w:sz w:val="22"/>
        </w:rPr>
        <w:t xml:space="preserve">Trasporto pubblico, condiviso e completamente elettrico; il potenziamento dei servizi di </w:t>
      </w:r>
      <w:proofErr w:type="spellStart"/>
      <w:r w:rsidRPr="00AF4967">
        <w:rPr>
          <w:rFonts w:asciiTheme="minorHAnsi" w:hAnsiTheme="minorHAnsi" w:cstheme="minorHAnsi"/>
          <w:b/>
          <w:bCs/>
          <w:sz w:val="22"/>
        </w:rPr>
        <w:t>sharing</w:t>
      </w:r>
      <w:proofErr w:type="spellEnd"/>
      <w:r w:rsidRPr="00AF4967">
        <w:rPr>
          <w:rFonts w:asciiTheme="minorHAnsi" w:hAnsiTheme="minorHAnsi" w:cstheme="minorHAnsi"/>
          <w:b/>
          <w:bCs/>
          <w:sz w:val="22"/>
        </w:rPr>
        <w:t xml:space="preserve"> </w:t>
      </w:r>
      <w:proofErr w:type="spellStart"/>
      <w:r w:rsidRPr="00AF4967">
        <w:rPr>
          <w:rFonts w:asciiTheme="minorHAnsi" w:hAnsiTheme="minorHAnsi" w:cstheme="minorHAnsi"/>
          <w:b/>
          <w:bCs/>
          <w:sz w:val="22"/>
        </w:rPr>
        <w:t>mobility</w:t>
      </w:r>
      <w:proofErr w:type="spellEnd"/>
      <w:r w:rsidRPr="00AF4967">
        <w:rPr>
          <w:rFonts w:asciiTheme="minorHAnsi" w:hAnsiTheme="minorHAnsi" w:cstheme="minorHAnsi"/>
          <w:b/>
          <w:bCs/>
          <w:sz w:val="22"/>
        </w:rPr>
        <w:t xml:space="preserve"> </w:t>
      </w:r>
      <w:r w:rsidRPr="00AF4967">
        <w:rPr>
          <w:rFonts w:asciiTheme="minorHAnsi" w:hAnsiTheme="minorHAnsi" w:cstheme="minorHAnsi"/>
          <w:sz w:val="22"/>
        </w:rPr>
        <w:t xml:space="preserve">in tutte le aree metropolitane e nelle città con oltre 30.000 abitanti e servizi a chiamata per i comuni più piccoli; la diffusione delle nuove tecnologie digitali (dalla prenotazione elettronica ai primi di progetti di </w:t>
      </w:r>
      <w:proofErr w:type="spellStart"/>
      <w:r w:rsidRPr="00AF4967">
        <w:rPr>
          <w:rFonts w:asciiTheme="minorHAnsi" w:hAnsiTheme="minorHAnsi" w:cstheme="minorHAnsi"/>
          <w:sz w:val="22"/>
        </w:rPr>
        <w:t>Mobility</w:t>
      </w:r>
      <w:proofErr w:type="spellEnd"/>
      <w:r w:rsidRPr="00AF4967">
        <w:rPr>
          <w:rFonts w:asciiTheme="minorHAnsi" w:hAnsiTheme="minorHAnsi" w:cstheme="minorHAnsi"/>
          <w:sz w:val="22"/>
        </w:rPr>
        <w:t xml:space="preserve"> a </w:t>
      </w:r>
      <w:proofErr w:type="spellStart"/>
      <w:r w:rsidRPr="00AF4967">
        <w:rPr>
          <w:rFonts w:asciiTheme="minorHAnsi" w:hAnsiTheme="minorHAnsi" w:cstheme="minorHAnsi"/>
          <w:sz w:val="22"/>
        </w:rPr>
        <w:t>as</w:t>
      </w:r>
      <w:proofErr w:type="spellEnd"/>
      <w:r w:rsidRPr="00AF4967">
        <w:rPr>
          <w:rFonts w:asciiTheme="minorHAnsi" w:hAnsiTheme="minorHAnsi" w:cstheme="minorHAnsi"/>
          <w:sz w:val="22"/>
        </w:rPr>
        <w:t xml:space="preserve"> Service)</w:t>
      </w:r>
      <w:r w:rsidR="00B04F31" w:rsidRPr="00AF4967">
        <w:rPr>
          <w:rFonts w:asciiTheme="minorHAnsi" w:hAnsiTheme="minorHAnsi" w:cstheme="minorHAnsi"/>
          <w:sz w:val="22"/>
        </w:rPr>
        <w:t>;</w:t>
      </w:r>
    </w:p>
    <w:p w14:paraId="1A6A3881" w14:textId="2F91AF95" w:rsidR="00E416E1" w:rsidRPr="00AF4967" w:rsidRDefault="00E416E1" w:rsidP="00AF4967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  <w:b/>
          <w:bCs/>
          <w:color w:val="FF0000"/>
          <w:sz w:val="22"/>
        </w:rPr>
      </w:pPr>
      <w:r w:rsidRPr="00AF4967">
        <w:rPr>
          <w:rFonts w:asciiTheme="minorHAnsi" w:hAnsiTheme="minorHAnsi" w:cstheme="minorHAnsi"/>
          <w:sz w:val="22"/>
        </w:rPr>
        <w:t>l’implementazione delle Ztl (</w:t>
      </w:r>
      <w:r w:rsidR="002137F3" w:rsidRPr="00AF4967">
        <w:rPr>
          <w:rFonts w:asciiTheme="minorHAnsi" w:hAnsiTheme="minorHAnsi"/>
          <w:sz w:val="22"/>
        </w:rPr>
        <w:t>Z</w:t>
      </w:r>
      <w:r w:rsidRPr="00AF4967">
        <w:rPr>
          <w:rFonts w:asciiTheme="minorHAnsi" w:hAnsiTheme="minorHAnsi"/>
          <w:sz w:val="22"/>
        </w:rPr>
        <w:t>one a traffico limitato</w:t>
      </w:r>
      <w:r w:rsidRPr="00AF4967">
        <w:rPr>
          <w:rFonts w:asciiTheme="minorHAnsi" w:hAnsiTheme="minorHAnsi"/>
          <w:b/>
          <w:bCs/>
          <w:sz w:val="22"/>
        </w:rPr>
        <w:t xml:space="preserve">), ma soprattutto di </w:t>
      </w:r>
      <w:hyperlink r:id="rId11" w:history="1">
        <w:proofErr w:type="spellStart"/>
        <w:r w:rsidRPr="00AF4967">
          <w:rPr>
            <w:rStyle w:val="Collegamentoipertestuale"/>
            <w:rFonts w:asciiTheme="minorHAnsi" w:hAnsiTheme="minorHAnsi"/>
            <w:b/>
            <w:bCs/>
            <w:sz w:val="22"/>
          </w:rPr>
          <w:t>Lez</w:t>
        </w:r>
        <w:proofErr w:type="spellEnd"/>
        <w:r w:rsidRPr="00AF4967">
          <w:rPr>
            <w:rStyle w:val="Collegamentoipertestuale"/>
            <w:rFonts w:asciiTheme="minorHAnsi" w:hAnsiTheme="minorHAnsi"/>
            <w:b/>
            <w:bCs/>
            <w:sz w:val="22"/>
          </w:rPr>
          <w:t xml:space="preserve"> (</w:t>
        </w:r>
        <w:proofErr w:type="spellStart"/>
        <w:r w:rsidR="002137F3" w:rsidRPr="00AF4967">
          <w:rPr>
            <w:rStyle w:val="Collegamentoipertestuale"/>
            <w:rFonts w:asciiTheme="minorHAnsi" w:hAnsiTheme="minorHAnsi"/>
            <w:b/>
            <w:bCs/>
            <w:sz w:val="22"/>
          </w:rPr>
          <w:t>L</w:t>
        </w:r>
        <w:r w:rsidRPr="00AF4967">
          <w:rPr>
            <w:rStyle w:val="Collegamentoipertestuale"/>
            <w:rFonts w:asciiTheme="minorHAnsi" w:hAnsiTheme="minorHAnsi"/>
            <w:b/>
            <w:bCs/>
            <w:sz w:val="22"/>
          </w:rPr>
          <w:t>ow</w:t>
        </w:r>
        <w:proofErr w:type="spellEnd"/>
        <w:r w:rsidRPr="00AF4967">
          <w:rPr>
            <w:rStyle w:val="Collegamentoipertestuale"/>
            <w:rFonts w:asciiTheme="minorHAnsi" w:hAnsiTheme="minorHAnsi"/>
            <w:b/>
            <w:bCs/>
            <w:sz w:val="22"/>
          </w:rPr>
          <w:t xml:space="preserve"> </w:t>
        </w:r>
        <w:proofErr w:type="spellStart"/>
        <w:r w:rsidRPr="00AF4967">
          <w:rPr>
            <w:rStyle w:val="Collegamentoipertestuale"/>
            <w:rFonts w:asciiTheme="minorHAnsi" w:hAnsiTheme="minorHAnsi"/>
            <w:b/>
            <w:bCs/>
            <w:sz w:val="22"/>
          </w:rPr>
          <w:t>emission</w:t>
        </w:r>
        <w:proofErr w:type="spellEnd"/>
        <w:r w:rsidRPr="00AF4967">
          <w:rPr>
            <w:rStyle w:val="Collegamentoipertestuale"/>
            <w:rFonts w:asciiTheme="minorHAnsi" w:hAnsiTheme="minorHAnsi"/>
            <w:b/>
            <w:bCs/>
            <w:sz w:val="22"/>
          </w:rPr>
          <w:t xml:space="preserve"> zone) e </w:t>
        </w:r>
        <w:proofErr w:type="spellStart"/>
        <w:r w:rsidRPr="00AF4967">
          <w:rPr>
            <w:rStyle w:val="Collegamentoipertestuale"/>
            <w:rFonts w:asciiTheme="minorHAnsi" w:hAnsiTheme="minorHAnsi"/>
            <w:b/>
            <w:bCs/>
            <w:sz w:val="22"/>
          </w:rPr>
          <w:t>Zez</w:t>
        </w:r>
        <w:proofErr w:type="spellEnd"/>
        <w:r w:rsidRPr="00AF4967">
          <w:rPr>
            <w:rStyle w:val="Collegamentoipertestuale"/>
            <w:rFonts w:asciiTheme="minorHAnsi" w:hAnsiTheme="minorHAnsi" w:cstheme="minorHAnsi"/>
            <w:b/>
            <w:bCs/>
            <w:sz w:val="22"/>
          </w:rPr>
          <w:t xml:space="preserve"> (Zero </w:t>
        </w:r>
        <w:proofErr w:type="spellStart"/>
        <w:r w:rsidRPr="00AF4967">
          <w:rPr>
            <w:rStyle w:val="Collegamentoipertestuale"/>
            <w:rFonts w:asciiTheme="minorHAnsi" w:hAnsiTheme="minorHAnsi" w:cstheme="minorHAnsi"/>
            <w:b/>
            <w:bCs/>
            <w:sz w:val="22"/>
          </w:rPr>
          <w:t>emission</w:t>
        </w:r>
        <w:proofErr w:type="spellEnd"/>
        <w:r w:rsidRPr="00AF4967">
          <w:rPr>
            <w:rStyle w:val="Collegamentoipertestuale"/>
            <w:rFonts w:asciiTheme="minorHAnsi" w:hAnsiTheme="minorHAnsi" w:cstheme="minorHAnsi"/>
            <w:b/>
            <w:bCs/>
            <w:sz w:val="22"/>
          </w:rPr>
          <w:t xml:space="preserve"> zone)</w:t>
        </w:r>
      </w:hyperlink>
      <w:r w:rsidRPr="00AF4967">
        <w:rPr>
          <w:rFonts w:asciiTheme="minorHAnsi" w:hAnsiTheme="minorHAnsi" w:cstheme="minorHAnsi"/>
          <w:sz w:val="22"/>
        </w:rPr>
        <w:t>,</w:t>
      </w:r>
      <w:r w:rsidRPr="00AF4967">
        <w:rPr>
          <w:rFonts w:asciiTheme="minorHAnsi" w:hAnsiTheme="minorHAnsi" w:cstheme="minorHAnsi"/>
          <w:color w:val="FF0000"/>
          <w:sz w:val="22"/>
        </w:rPr>
        <w:t xml:space="preserve"> </w:t>
      </w:r>
      <w:r w:rsidRPr="00AF4967">
        <w:rPr>
          <w:rFonts w:asciiTheme="minorHAnsi" w:hAnsiTheme="minorHAnsi" w:cstheme="minorHAnsi"/>
          <w:sz w:val="22"/>
        </w:rPr>
        <w:t xml:space="preserve">seguendo il modello di Londra, Amsterdam, Parigi, </w:t>
      </w:r>
      <w:r w:rsidR="00E93334" w:rsidRPr="00AF4967">
        <w:rPr>
          <w:rFonts w:asciiTheme="minorHAnsi" w:hAnsiTheme="minorHAnsi" w:cstheme="minorHAnsi"/>
          <w:sz w:val="22"/>
        </w:rPr>
        <w:t>Bruxelles</w:t>
      </w:r>
      <w:r w:rsidRPr="00AF4967">
        <w:rPr>
          <w:rFonts w:asciiTheme="minorHAnsi" w:hAnsiTheme="minorHAnsi" w:cstheme="minorHAnsi"/>
          <w:sz w:val="22"/>
        </w:rPr>
        <w:t xml:space="preserve"> o Anversa.</w:t>
      </w:r>
    </w:p>
    <w:p w14:paraId="0EEB2D9A" w14:textId="77777777" w:rsidR="0009191C" w:rsidRDefault="0009191C" w:rsidP="00AF4967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2"/>
        </w:rPr>
      </w:pPr>
    </w:p>
    <w:p w14:paraId="2960FFFE" w14:textId="1C2E3E01" w:rsidR="00371BE3" w:rsidRDefault="00E416E1" w:rsidP="00AF4967">
      <w:pPr>
        <w:spacing w:after="0" w:line="240" w:lineRule="auto"/>
        <w:jc w:val="both"/>
        <w:rPr>
          <w:rFonts w:asciiTheme="minorHAnsi" w:hAnsiTheme="minorHAnsi" w:cstheme="minorHAnsi"/>
          <w:sz w:val="22"/>
        </w:rPr>
      </w:pPr>
      <w:r w:rsidRPr="00AF4967">
        <w:rPr>
          <w:rFonts w:asciiTheme="minorHAnsi" w:hAnsiTheme="minorHAnsi" w:cstheme="minorHAnsi"/>
          <w:b/>
          <w:bCs/>
          <w:sz w:val="22"/>
        </w:rPr>
        <w:t>La campagna per liberare le città dall’inquinamento.</w:t>
      </w:r>
      <w:r w:rsidRPr="00AF4967">
        <w:rPr>
          <w:rFonts w:asciiTheme="minorHAnsi" w:hAnsiTheme="minorHAnsi" w:cstheme="minorHAnsi"/>
          <w:sz w:val="22"/>
        </w:rPr>
        <w:t xml:space="preserve"> Il Dossier </w:t>
      </w:r>
      <w:proofErr w:type="spellStart"/>
      <w:r w:rsidRPr="00AF4967">
        <w:rPr>
          <w:rFonts w:asciiTheme="minorHAnsi" w:hAnsiTheme="minorHAnsi" w:cstheme="minorHAnsi"/>
          <w:sz w:val="22"/>
        </w:rPr>
        <w:t>Mal’aria</w:t>
      </w:r>
      <w:proofErr w:type="spellEnd"/>
      <w:r w:rsidRPr="00AF4967">
        <w:rPr>
          <w:rFonts w:asciiTheme="minorHAnsi" w:hAnsiTheme="minorHAnsi" w:cstheme="minorHAnsi"/>
          <w:sz w:val="22"/>
        </w:rPr>
        <w:t xml:space="preserve"> ricade nell’ambito della </w:t>
      </w:r>
      <w:hyperlink r:id="rId12" w:history="1">
        <w:proofErr w:type="spellStart"/>
        <w:r w:rsidRPr="00AF4967">
          <w:rPr>
            <w:rStyle w:val="Collegamentoipertestuale"/>
            <w:rFonts w:asciiTheme="minorHAnsi" w:hAnsiTheme="minorHAnsi"/>
            <w:sz w:val="22"/>
          </w:rPr>
          <w:t>Clean</w:t>
        </w:r>
        <w:proofErr w:type="spellEnd"/>
        <w:r w:rsidRPr="00AF4967">
          <w:rPr>
            <w:rStyle w:val="Collegamentoipertestuale"/>
            <w:rFonts w:asciiTheme="minorHAnsi" w:hAnsiTheme="minorHAnsi"/>
            <w:sz w:val="22"/>
          </w:rPr>
          <w:t xml:space="preserve"> </w:t>
        </w:r>
        <w:proofErr w:type="spellStart"/>
        <w:r w:rsidRPr="00AF4967">
          <w:rPr>
            <w:rStyle w:val="Collegamentoipertestuale"/>
            <w:rFonts w:asciiTheme="minorHAnsi" w:hAnsiTheme="minorHAnsi"/>
            <w:sz w:val="22"/>
          </w:rPr>
          <w:t>Cities</w:t>
        </w:r>
        <w:proofErr w:type="spellEnd"/>
        <w:r w:rsidRPr="00AF4967">
          <w:rPr>
            <w:rStyle w:val="Collegamentoipertestuale"/>
            <w:rFonts w:asciiTheme="minorHAnsi" w:hAnsiTheme="minorHAnsi"/>
            <w:sz w:val="22"/>
          </w:rPr>
          <w:t xml:space="preserve"> </w:t>
        </w:r>
        <w:proofErr w:type="spellStart"/>
        <w:r w:rsidRPr="00AF4967">
          <w:rPr>
            <w:rStyle w:val="Collegamentoipertestuale"/>
            <w:rFonts w:asciiTheme="minorHAnsi" w:hAnsiTheme="minorHAnsi"/>
            <w:sz w:val="22"/>
          </w:rPr>
          <w:t>Campaign</w:t>
        </w:r>
        <w:proofErr w:type="spellEnd"/>
      </w:hyperlink>
      <w:r w:rsidRPr="00AF4967">
        <w:rPr>
          <w:rFonts w:asciiTheme="minorHAnsi" w:hAnsiTheme="minorHAnsi" w:cstheme="minorHAnsi"/>
          <w:sz w:val="22"/>
        </w:rPr>
        <w:t xml:space="preserve"> alla sua III edizione. Un’iniziativa sostenuta da Legambiente insieme </w:t>
      </w:r>
      <w:r w:rsidR="00371BE3">
        <w:rPr>
          <w:rFonts w:asciiTheme="minorHAnsi" w:hAnsiTheme="minorHAnsi" w:cstheme="minorHAnsi"/>
          <w:sz w:val="22"/>
        </w:rPr>
        <w:t xml:space="preserve">ad una </w:t>
      </w:r>
      <w:r w:rsidR="00371BE3" w:rsidRPr="00371BE3">
        <w:rPr>
          <w:rFonts w:asciiTheme="minorHAnsi" w:hAnsiTheme="minorHAnsi" w:cstheme="minorHAnsi"/>
          <w:sz w:val="22"/>
        </w:rPr>
        <w:t xml:space="preserve">coalizione europea di ONG, associazioni ambientaliste, </w:t>
      </w:r>
      <w:proofErr w:type="spellStart"/>
      <w:r w:rsidR="00371BE3" w:rsidRPr="00371BE3">
        <w:rPr>
          <w:rFonts w:asciiTheme="minorHAnsi" w:hAnsiTheme="minorHAnsi" w:cstheme="minorHAnsi"/>
          <w:sz w:val="22"/>
        </w:rPr>
        <w:t>think</w:t>
      </w:r>
      <w:proofErr w:type="spellEnd"/>
      <w:r w:rsidR="00371BE3" w:rsidRPr="00371BE3">
        <w:rPr>
          <w:rFonts w:asciiTheme="minorHAnsi" w:hAnsiTheme="minorHAnsi" w:cstheme="minorHAnsi"/>
          <w:sz w:val="22"/>
        </w:rPr>
        <w:t>-tank, movimenti di base e organizzazioni della società civile che ha come obiettivo una mobilità urbana a zero emissioni entro il 2030. La campagna sostiene la mobilità attiva, condivisa ed elettrica per un futuro urbano più vivibile e sostenibile, inclusa la graduale eliminazione dei veicoli con motore a combustione interna dalle città.</w:t>
      </w:r>
    </w:p>
    <w:p w14:paraId="265A7C8E" w14:textId="77777777" w:rsidR="004C6BD4" w:rsidRDefault="004C6BD4" w:rsidP="00AF4967">
      <w:pPr>
        <w:spacing w:after="0" w:line="240" w:lineRule="auto"/>
        <w:rPr>
          <w:rFonts w:asciiTheme="minorHAnsi" w:hAnsiTheme="minorHAnsi" w:cstheme="minorHAnsi"/>
          <w:b/>
          <w:bCs/>
          <w:sz w:val="22"/>
        </w:rPr>
      </w:pPr>
    </w:p>
    <w:p w14:paraId="39C1B66D" w14:textId="2BB99D6F" w:rsidR="001D02CE" w:rsidRDefault="00E416E1" w:rsidP="001D02CE">
      <w:pPr>
        <w:spacing w:after="0" w:line="240" w:lineRule="auto"/>
        <w:rPr>
          <w:rFonts w:asciiTheme="minorHAnsi" w:hAnsiTheme="minorHAnsi" w:cstheme="minorHAnsi"/>
          <w:b/>
          <w:bCs/>
          <w:color w:val="FF0000"/>
          <w:sz w:val="22"/>
        </w:rPr>
      </w:pPr>
      <w:r w:rsidRPr="00AF4967">
        <w:rPr>
          <w:rFonts w:asciiTheme="minorHAnsi" w:hAnsiTheme="minorHAnsi" w:cstheme="minorHAnsi"/>
          <w:b/>
          <w:bCs/>
          <w:sz w:val="22"/>
        </w:rPr>
        <w:t>Il dossier è disponibile a questo</w:t>
      </w:r>
      <w:r w:rsidRPr="00AF4967">
        <w:rPr>
          <w:rFonts w:asciiTheme="minorHAnsi" w:hAnsiTheme="minorHAnsi" w:cstheme="minorHAnsi"/>
          <w:b/>
          <w:bCs/>
          <w:color w:val="FF0000"/>
          <w:sz w:val="22"/>
        </w:rPr>
        <w:t xml:space="preserve"> </w:t>
      </w:r>
      <w:hyperlink r:id="rId13" w:history="1">
        <w:r w:rsidRPr="00884C1B">
          <w:rPr>
            <w:rStyle w:val="Collegamentoipertestuale"/>
            <w:rFonts w:asciiTheme="minorHAnsi" w:hAnsiTheme="minorHAnsi" w:cstheme="minorHAnsi"/>
            <w:b/>
            <w:bCs/>
            <w:sz w:val="22"/>
          </w:rPr>
          <w:t>link.</w:t>
        </w:r>
      </w:hyperlink>
    </w:p>
    <w:p w14:paraId="0B104616" w14:textId="77777777" w:rsidR="00916038" w:rsidRPr="00916038" w:rsidRDefault="00916038" w:rsidP="001D02CE">
      <w:pPr>
        <w:spacing w:after="0" w:line="240" w:lineRule="auto"/>
        <w:rPr>
          <w:rFonts w:asciiTheme="minorHAnsi" w:hAnsiTheme="minorHAnsi" w:cstheme="minorHAnsi"/>
          <w:bCs/>
          <w:sz w:val="22"/>
        </w:rPr>
      </w:pPr>
    </w:p>
    <w:p w14:paraId="7A9832C9" w14:textId="77777777" w:rsidR="00E351C5" w:rsidRPr="00E351C5" w:rsidRDefault="00E351C5" w:rsidP="00E351C5">
      <w:pPr>
        <w:spacing w:after="0" w:line="240" w:lineRule="auto"/>
        <w:jc w:val="center"/>
        <w:rPr>
          <w:rFonts w:eastAsia="Times New Roman" w:cs="Times New Roman"/>
          <w:i/>
          <w:iCs/>
          <w:color w:val="888888"/>
          <w:szCs w:val="24"/>
          <w:lang w:eastAsia="it-IT"/>
        </w:rPr>
      </w:pPr>
      <w:r w:rsidRPr="00E351C5">
        <w:rPr>
          <w:rFonts w:eastAsia="Times New Roman" w:cs="Times New Roman"/>
          <w:i/>
          <w:iCs/>
          <w:color w:val="888888"/>
          <w:szCs w:val="24"/>
          <w:lang w:eastAsia="it-IT"/>
        </w:rPr>
        <w:t>Ufficio Stampa - Legambiente Emilia Romagna</w:t>
      </w:r>
    </w:p>
    <w:p w14:paraId="3BE14D0B" w14:textId="77777777" w:rsidR="00E351C5" w:rsidRPr="00E351C5" w:rsidRDefault="00E351C5" w:rsidP="00E351C5">
      <w:pPr>
        <w:spacing w:after="0" w:line="240" w:lineRule="auto"/>
        <w:jc w:val="center"/>
        <w:rPr>
          <w:rFonts w:eastAsia="Times New Roman" w:cs="Times New Roman"/>
          <w:i/>
          <w:iCs/>
          <w:color w:val="888888"/>
          <w:szCs w:val="24"/>
          <w:lang w:eastAsia="it-IT"/>
        </w:rPr>
      </w:pPr>
      <w:r w:rsidRPr="00E351C5">
        <w:rPr>
          <w:rFonts w:eastAsia="Times New Roman" w:cs="Times New Roman"/>
          <w:i/>
          <w:iCs/>
          <w:color w:val="888888"/>
          <w:szCs w:val="24"/>
          <w:lang w:eastAsia="it-IT"/>
        </w:rPr>
        <w:t>Via Massimo Gorki, 6 - 40128 Bologna</w:t>
      </w:r>
      <w:r w:rsidRPr="00E351C5">
        <w:rPr>
          <w:rFonts w:eastAsia="Times New Roman" w:cs="Times New Roman"/>
          <w:i/>
          <w:iCs/>
          <w:color w:val="888888"/>
          <w:szCs w:val="24"/>
          <w:lang w:eastAsia="it-IT"/>
        </w:rPr>
        <w:br/>
        <w:t>Tel: 051-241324</w:t>
      </w:r>
    </w:p>
    <w:p w14:paraId="2D6C4A57" w14:textId="4FA0BC57" w:rsidR="000A1217" w:rsidRPr="00E351C5" w:rsidRDefault="00E351C5" w:rsidP="00E351C5">
      <w:pPr>
        <w:spacing w:after="0" w:line="240" w:lineRule="auto"/>
        <w:jc w:val="center"/>
        <w:rPr>
          <w:rFonts w:eastAsia="Times New Roman" w:cs="Times New Roman"/>
          <w:i/>
          <w:iCs/>
          <w:color w:val="888888"/>
          <w:szCs w:val="24"/>
          <w:lang w:eastAsia="it-IT"/>
        </w:rPr>
      </w:pPr>
      <w:r w:rsidRPr="00E351C5">
        <w:rPr>
          <w:rFonts w:eastAsia="Times New Roman" w:cs="Times New Roman"/>
          <w:i/>
          <w:iCs/>
          <w:color w:val="888888"/>
          <w:szCs w:val="24"/>
          <w:lang w:eastAsia="it-IT"/>
        </w:rPr>
        <w:t>Fax: 051-0390796</w:t>
      </w:r>
    </w:p>
    <w:sectPr w:rsidR="000A1217" w:rsidRPr="00E351C5" w:rsidSect="00AF4967">
      <w:headerReference w:type="default" r:id="rId14"/>
      <w:pgSz w:w="11906" w:h="16838"/>
      <w:pgMar w:top="1417" w:right="1134" w:bottom="851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E420AA" w14:textId="77777777" w:rsidR="00A8377E" w:rsidRDefault="00A8377E" w:rsidP="00050A5D">
      <w:pPr>
        <w:spacing w:after="0" w:line="240" w:lineRule="auto"/>
      </w:pPr>
      <w:r>
        <w:separator/>
      </w:r>
    </w:p>
  </w:endnote>
  <w:endnote w:type="continuationSeparator" w:id="0">
    <w:p w14:paraId="317AD69B" w14:textId="77777777" w:rsidR="00A8377E" w:rsidRDefault="00A8377E" w:rsidP="00050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NeueLT Std L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 Std C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arlow-ExtraBoldItalic">
    <w:altName w:val="Times New Roman"/>
    <w:panose1 w:val="00000000000000000000"/>
    <w:charset w:val="00"/>
    <w:family w:val="roman"/>
    <w:notTrueType/>
    <w:pitch w:val="default"/>
  </w:font>
  <w:font w:name="Barlow-MediumItalic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7652CE" w14:textId="77777777" w:rsidR="00A8377E" w:rsidRDefault="00A8377E" w:rsidP="00050A5D">
      <w:pPr>
        <w:spacing w:after="0" w:line="240" w:lineRule="auto"/>
      </w:pPr>
      <w:bookmarkStart w:id="0" w:name="_Hlk116553494"/>
      <w:bookmarkEnd w:id="0"/>
      <w:r>
        <w:separator/>
      </w:r>
    </w:p>
  </w:footnote>
  <w:footnote w:type="continuationSeparator" w:id="0">
    <w:p w14:paraId="437395F3" w14:textId="77777777" w:rsidR="00A8377E" w:rsidRDefault="00A8377E" w:rsidP="00050A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07FDB6" w14:textId="40A60924" w:rsidR="00050A5D" w:rsidRDefault="00965C7F">
    <w:pPr>
      <w:pStyle w:val="Intestazione"/>
    </w:pPr>
    <w:r>
      <w:rPr>
        <w:noProof/>
        <w:lang w:eastAsia="it-IT"/>
      </w:rPr>
      <w:drawing>
        <wp:inline distT="0" distB="0" distL="0" distR="0" wp14:anchorId="12CF7A2E" wp14:editId="69385204">
          <wp:extent cx="769783" cy="586740"/>
          <wp:effectExtent l="0" t="0" r="0" b="381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395" cy="5925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50A5D">
      <w:ptab w:relativeTo="margin" w:alignment="center" w:leader="none"/>
    </w:r>
    <w:r w:rsidR="00050A5D">
      <w:ptab w:relativeTo="margin" w:alignment="right" w:leader="none"/>
    </w:r>
    <w:r w:rsidR="00050A5D">
      <w:rPr>
        <w:noProof/>
        <w:lang w:eastAsia="it-IT"/>
      </w:rPr>
      <w:drawing>
        <wp:inline distT="0" distB="0" distL="0" distR="0" wp14:anchorId="0A71D52E" wp14:editId="2C21E263">
          <wp:extent cx="1107831" cy="410121"/>
          <wp:effectExtent l="0" t="0" r="0" b="9525"/>
          <wp:docPr id="12" name="Immagine 12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0562" cy="4222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D17426"/>
    <w:multiLevelType w:val="hybridMultilevel"/>
    <w:tmpl w:val="D90EA97C"/>
    <w:lvl w:ilvl="0" w:tplc="DFA2EF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5F32A4"/>
    <w:multiLevelType w:val="hybridMultilevel"/>
    <w:tmpl w:val="9692C7CE"/>
    <w:lvl w:ilvl="0" w:tplc="DF9ACC7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6B3B70"/>
    <w:multiLevelType w:val="hybridMultilevel"/>
    <w:tmpl w:val="275E9246"/>
    <w:lvl w:ilvl="0" w:tplc="0646FEC2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3A8"/>
    <w:rsid w:val="000112ED"/>
    <w:rsid w:val="00025D82"/>
    <w:rsid w:val="00050A5D"/>
    <w:rsid w:val="0009191C"/>
    <w:rsid w:val="00092A64"/>
    <w:rsid w:val="00092EFD"/>
    <w:rsid w:val="00094374"/>
    <w:rsid w:val="000A1217"/>
    <w:rsid w:val="000A477E"/>
    <w:rsid w:val="000B2C63"/>
    <w:rsid w:val="000C1432"/>
    <w:rsid w:val="000C1D9B"/>
    <w:rsid w:val="000E71A0"/>
    <w:rsid w:val="000F2020"/>
    <w:rsid w:val="0011466E"/>
    <w:rsid w:val="00126DE4"/>
    <w:rsid w:val="0014465C"/>
    <w:rsid w:val="0018146B"/>
    <w:rsid w:val="001B529E"/>
    <w:rsid w:val="001B60B3"/>
    <w:rsid w:val="001D02CE"/>
    <w:rsid w:val="001D057B"/>
    <w:rsid w:val="001F0A7D"/>
    <w:rsid w:val="00200C4D"/>
    <w:rsid w:val="0021132A"/>
    <w:rsid w:val="00213596"/>
    <w:rsid w:val="002137F3"/>
    <w:rsid w:val="00226795"/>
    <w:rsid w:val="00246BEB"/>
    <w:rsid w:val="00263903"/>
    <w:rsid w:val="00265AD4"/>
    <w:rsid w:val="00266193"/>
    <w:rsid w:val="002D244A"/>
    <w:rsid w:val="002D5553"/>
    <w:rsid w:val="002E6FCF"/>
    <w:rsid w:val="0030232E"/>
    <w:rsid w:val="00307456"/>
    <w:rsid w:val="003148EC"/>
    <w:rsid w:val="0032549B"/>
    <w:rsid w:val="0036342F"/>
    <w:rsid w:val="003647BA"/>
    <w:rsid w:val="00371BE3"/>
    <w:rsid w:val="00392729"/>
    <w:rsid w:val="003A0BAD"/>
    <w:rsid w:val="003A5E2F"/>
    <w:rsid w:val="003C2B1E"/>
    <w:rsid w:val="003D3805"/>
    <w:rsid w:val="003F68EA"/>
    <w:rsid w:val="00400048"/>
    <w:rsid w:val="00416B1D"/>
    <w:rsid w:val="004173A8"/>
    <w:rsid w:val="00421F94"/>
    <w:rsid w:val="004229D2"/>
    <w:rsid w:val="004235C7"/>
    <w:rsid w:val="004459CF"/>
    <w:rsid w:val="00451F73"/>
    <w:rsid w:val="00455613"/>
    <w:rsid w:val="00457749"/>
    <w:rsid w:val="004707D9"/>
    <w:rsid w:val="00482B09"/>
    <w:rsid w:val="0048447B"/>
    <w:rsid w:val="00487C38"/>
    <w:rsid w:val="0049193C"/>
    <w:rsid w:val="00496B91"/>
    <w:rsid w:val="004A7796"/>
    <w:rsid w:val="004C6BD4"/>
    <w:rsid w:val="004C711A"/>
    <w:rsid w:val="005052EF"/>
    <w:rsid w:val="00505589"/>
    <w:rsid w:val="00507382"/>
    <w:rsid w:val="00513EDE"/>
    <w:rsid w:val="00547DF1"/>
    <w:rsid w:val="00554AC9"/>
    <w:rsid w:val="0057307B"/>
    <w:rsid w:val="005743BE"/>
    <w:rsid w:val="005777AD"/>
    <w:rsid w:val="00592EAD"/>
    <w:rsid w:val="005A0906"/>
    <w:rsid w:val="005A095F"/>
    <w:rsid w:val="005B2CA8"/>
    <w:rsid w:val="00611C13"/>
    <w:rsid w:val="00613691"/>
    <w:rsid w:val="006171CC"/>
    <w:rsid w:val="006175EF"/>
    <w:rsid w:val="00644A1E"/>
    <w:rsid w:val="00653139"/>
    <w:rsid w:val="00653401"/>
    <w:rsid w:val="00676157"/>
    <w:rsid w:val="006803F7"/>
    <w:rsid w:val="00681007"/>
    <w:rsid w:val="00681693"/>
    <w:rsid w:val="006914FD"/>
    <w:rsid w:val="0069314E"/>
    <w:rsid w:val="006A3F56"/>
    <w:rsid w:val="006C67D6"/>
    <w:rsid w:val="006C7ABF"/>
    <w:rsid w:val="006E67CA"/>
    <w:rsid w:val="00712E00"/>
    <w:rsid w:val="0072246D"/>
    <w:rsid w:val="00741033"/>
    <w:rsid w:val="007719B3"/>
    <w:rsid w:val="00787932"/>
    <w:rsid w:val="00795B14"/>
    <w:rsid w:val="007C5106"/>
    <w:rsid w:val="007E7897"/>
    <w:rsid w:val="008143A2"/>
    <w:rsid w:val="0082444E"/>
    <w:rsid w:val="00824845"/>
    <w:rsid w:val="00830261"/>
    <w:rsid w:val="00832014"/>
    <w:rsid w:val="00871F7F"/>
    <w:rsid w:val="0088242C"/>
    <w:rsid w:val="00884C1B"/>
    <w:rsid w:val="00885C26"/>
    <w:rsid w:val="008A307F"/>
    <w:rsid w:val="008A33C8"/>
    <w:rsid w:val="008B5036"/>
    <w:rsid w:val="008B6E40"/>
    <w:rsid w:val="008B7131"/>
    <w:rsid w:val="008F5D32"/>
    <w:rsid w:val="009030D9"/>
    <w:rsid w:val="00905522"/>
    <w:rsid w:val="00910F59"/>
    <w:rsid w:val="00916038"/>
    <w:rsid w:val="00916370"/>
    <w:rsid w:val="00937F53"/>
    <w:rsid w:val="00940C7A"/>
    <w:rsid w:val="00957731"/>
    <w:rsid w:val="00965C7F"/>
    <w:rsid w:val="00981A6F"/>
    <w:rsid w:val="00992384"/>
    <w:rsid w:val="009B6BA2"/>
    <w:rsid w:val="009C3D29"/>
    <w:rsid w:val="009D44A4"/>
    <w:rsid w:val="009F7875"/>
    <w:rsid w:val="00A05F9F"/>
    <w:rsid w:val="00A0759C"/>
    <w:rsid w:val="00A46372"/>
    <w:rsid w:val="00A8377E"/>
    <w:rsid w:val="00A97A02"/>
    <w:rsid w:val="00AB1AEA"/>
    <w:rsid w:val="00AB6B6A"/>
    <w:rsid w:val="00AF4967"/>
    <w:rsid w:val="00B04F31"/>
    <w:rsid w:val="00B04F45"/>
    <w:rsid w:val="00B126D4"/>
    <w:rsid w:val="00B139D2"/>
    <w:rsid w:val="00B22F8B"/>
    <w:rsid w:val="00B41E90"/>
    <w:rsid w:val="00B4744E"/>
    <w:rsid w:val="00B760D3"/>
    <w:rsid w:val="00B87D7A"/>
    <w:rsid w:val="00BA57B6"/>
    <w:rsid w:val="00BC0044"/>
    <w:rsid w:val="00BD27C1"/>
    <w:rsid w:val="00BE6F0D"/>
    <w:rsid w:val="00BF2622"/>
    <w:rsid w:val="00C05AD5"/>
    <w:rsid w:val="00C12206"/>
    <w:rsid w:val="00C147EE"/>
    <w:rsid w:val="00C352DC"/>
    <w:rsid w:val="00C40DDD"/>
    <w:rsid w:val="00C513D1"/>
    <w:rsid w:val="00C60492"/>
    <w:rsid w:val="00C96129"/>
    <w:rsid w:val="00CE6A8E"/>
    <w:rsid w:val="00D07A7F"/>
    <w:rsid w:val="00D145E2"/>
    <w:rsid w:val="00D175DC"/>
    <w:rsid w:val="00D24CDD"/>
    <w:rsid w:val="00D25320"/>
    <w:rsid w:val="00D4004B"/>
    <w:rsid w:val="00D41E50"/>
    <w:rsid w:val="00D7286C"/>
    <w:rsid w:val="00D83F40"/>
    <w:rsid w:val="00D878FE"/>
    <w:rsid w:val="00D94AA6"/>
    <w:rsid w:val="00DA5680"/>
    <w:rsid w:val="00DB507E"/>
    <w:rsid w:val="00DD0581"/>
    <w:rsid w:val="00DE0C13"/>
    <w:rsid w:val="00E07D52"/>
    <w:rsid w:val="00E21CF0"/>
    <w:rsid w:val="00E351C5"/>
    <w:rsid w:val="00E416E1"/>
    <w:rsid w:val="00E47433"/>
    <w:rsid w:val="00E62EE5"/>
    <w:rsid w:val="00E76D75"/>
    <w:rsid w:val="00E93334"/>
    <w:rsid w:val="00EA4468"/>
    <w:rsid w:val="00EA6363"/>
    <w:rsid w:val="00EB6F1A"/>
    <w:rsid w:val="00ED2D3D"/>
    <w:rsid w:val="00EE4CB3"/>
    <w:rsid w:val="00EF4905"/>
    <w:rsid w:val="00F07EB6"/>
    <w:rsid w:val="00F2270F"/>
    <w:rsid w:val="00F24A9A"/>
    <w:rsid w:val="00F33C3B"/>
    <w:rsid w:val="00F40D4A"/>
    <w:rsid w:val="00F43C54"/>
    <w:rsid w:val="00F54298"/>
    <w:rsid w:val="00F72BB2"/>
    <w:rsid w:val="00F8357B"/>
    <w:rsid w:val="00F92616"/>
    <w:rsid w:val="00FB7952"/>
    <w:rsid w:val="00FD177C"/>
    <w:rsid w:val="00FE668E"/>
    <w:rsid w:val="00FE7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C8B4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7ABF"/>
    <w:rPr>
      <w:rFonts w:ascii="Times New Roman" w:hAnsi="Times New Roman"/>
      <w:sz w:val="24"/>
    </w:rPr>
  </w:style>
  <w:style w:type="paragraph" w:styleId="Titolo1">
    <w:name w:val="heading 1"/>
    <w:basedOn w:val="Normale"/>
    <w:next w:val="Normale"/>
    <w:link w:val="Titolo1Carattere"/>
    <w:autoRedefine/>
    <w:uiPriority w:val="9"/>
    <w:qFormat/>
    <w:rsid w:val="00DD0581"/>
    <w:pPr>
      <w:keepNext/>
      <w:keepLines/>
      <w:spacing w:after="0" w:line="240" w:lineRule="auto"/>
      <w:jc w:val="center"/>
      <w:outlineLvl w:val="0"/>
    </w:pPr>
    <w:rPr>
      <w:rFonts w:asciiTheme="minorHAnsi" w:eastAsiaTheme="majorEastAsia" w:hAnsiTheme="minorHAnsi" w:cstheme="minorHAnsi"/>
      <w:b/>
      <w:color w:val="000000" w:themeColor="text1"/>
      <w:sz w:val="28"/>
      <w:szCs w:val="24"/>
    </w:rPr>
  </w:style>
  <w:style w:type="paragraph" w:styleId="Titolo2">
    <w:name w:val="heading 2"/>
    <w:basedOn w:val="Normale"/>
    <w:next w:val="Normale"/>
    <w:link w:val="Titolo2Carattere"/>
    <w:autoRedefine/>
    <w:uiPriority w:val="9"/>
    <w:unhideWhenUsed/>
    <w:qFormat/>
    <w:rsid w:val="00D145E2"/>
    <w:pPr>
      <w:keepNext/>
      <w:keepLines/>
      <w:spacing w:before="40" w:after="0"/>
      <w:jc w:val="center"/>
      <w:outlineLvl w:val="1"/>
    </w:pPr>
    <w:rPr>
      <w:rFonts w:eastAsiaTheme="majorEastAsia" w:cstheme="majorBidi"/>
      <w:b/>
      <w:sz w:val="26"/>
      <w:szCs w:val="26"/>
    </w:rPr>
  </w:style>
  <w:style w:type="paragraph" w:styleId="Titolo3">
    <w:name w:val="heading 3"/>
    <w:basedOn w:val="Normale"/>
    <w:next w:val="Normale"/>
    <w:link w:val="Titolo3Carattere"/>
    <w:autoRedefine/>
    <w:uiPriority w:val="9"/>
    <w:unhideWhenUsed/>
    <w:qFormat/>
    <w:rsid w:val="002D5553"/>
    <w:pPr>
      <w:keepNext/>
      <w:keepLines/>
      <w:spacing w:before="40" w:after="0"/>
      <w:outlineLvl w:val="2"/>
    </w:pPr>
    <w:rPr>
      <w:rFonts w:eastAsiaTheme="majorEastAsia" w:cstheme="majorBidi"/>
      <w:b/>
      <w:color w:val="1F3763" w:themeColor="accent1" w:themeShade="7F"/>
      <w:sz w:val="28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D0581"/>
    <w:rPr>
      <w:rFonts w:eastAsiaTheme="majorEastAsia" w:cstheme="minorHAnsi"/>
      <w:b/>
      <w:color w:val="000000" w:themeColor="text1"/>
      <w:sz w:val="28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rsid w:val="002D5553"/>
    <w:rPr>
      <w:rFonts w:ascii="Times New Roman" w:eastAsiaTheme="majorEastAsia" w:hAnsi="Times New Roman" w:cstheme="majorBidi"/>
      <w:b/>
      <w:color w:val="1F3763" w:themeColor="accent1" w:themeShade="7F"/>
      <w:sz w:val="28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145E2"/>
    <w:rPr>
      <w:rFonts w:ascii="Times New Roman" w:eastAsiaTheme="majorEastAsia" w:hAnsi="Times New Roman" w:cstheme="majorBidi"/>
      <w:b/>
      <w:sz w:val="26"/>
      <w:szCs w:val="26"/>
    </w:rPr>
  </w:style>
  <w:style w:type="character" w:styleId="Collegamentoipertestuale">
    <w:name w:val="Hyperlink"/>
    <w:basedOn w:val="Carpredefinitoparagrafo"/>
    <w:uiPriority w:val="99"/>
    <w:unhideWhenUsed/>
    <w:rsid w:val="00D878FE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878FE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050A5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50A5D"/>
    <w:rPr>
      <w:rFonts w:ascii="Times New Roman" w:hAnsi="Times New Roman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050A5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50A5D"/>
    <w:rPr>
      <w:rFonts w:ascii="Times New Roman" w:hAnsi="Times New Roman"/>
      <w:sz w:val="24"/>
    </w:rPr>
  </w:style>
  <w:style w:type="paragraph" w:customStyle="1" w:styleId="Pa5">
    <w:name w:val="Pa5"/>
    <w:basedOn w:val="Normale"/>
    <w:next w:val="Normale"/>
    <w:uiPriority w:val="99"/>
    <w:rsid w:val="00E47433"/>
    <w:pPr>
      <w:autoSpaceDE w:val="0"/>
      <w:autoSpaceDN w:val="0"/>
      <w:adjustRightInd w:val="0"/>
      <w:spacing w:after="0" w:line="221" w:lineRule="atLeast"/>
    </w:pPr>
    <w:rPr>
      <w:rFonts w:ascii="HelveticaNeueLT Std Lt" w:hAnsi="HelveticaNeueLT Std Lt"/>
      <w:szCs w:val="24"/>
    </w:rPr>
  </w:style>
  <w:style w:type="paragraph" w:styleId="Paragrafoelenco">
    <w:name w:val="List Paragraph"/>
    <w:basedOn w:val="Normale"/>
    <w:uiPriority w:val="34"/>
    <w:qFormat/>
    <w:rsid w:val="00E416E1"/>
    <w:pPr>
      <w:spacing w:line="254" w:lineRule="auto"/>
      <w:ind w:left="720"/>
      <w:contextualSpacing/>
    </w:pPr>
  </w:style>
  <w:style w:type="character" w:customStyle="1" w:styleId="A3">
    <w:name w:val="A3"/>
    <w:uiPriority w:val="99"/>
    <w:rsid w:val="00E416E1"/>
    <w:rPr>
      <w:rFonts w:ascii="HelveticaNeueLT Std Cn" w:hAnsi="HelveticaNeueLT Std Cn" w:cs="HelveticaNeueLT Std Cn" w:hint="default"/>
      <w:b/>
      <w:bCs/>
      <w:color w:val="000000"/>
      <w:sz w:val="30"/>
      <w:szCs w:val="3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04F31"/>
    <w:rPr>
      <w:color w:val="954F72" w:themeColor="followed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B04F3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B04F3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B04F31"/>
    <w:rPr>
      <w:rFonts w:ascii="Times New Roman" w:hAnsi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04F3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04F31"/>
    <w:rPr>
      <w:rFonts w:ascii="Times New Roman" w:hAnsi="Times New Roman"/>
      <w:b/>
      <w:bCs/>
      <w:sz w:val="20"/>
      <w:szCs w:val="20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884C1B"/>
    <w:rPr>
      <w:color w:val="605E5C"/>
      <w:shd w:val="clear" w:color="auto" w:fill="E1DFDD"/>
    </w:rPr>
  </w:style>
  <w:style w:type="character" w:customStyle="1" w:styleId="fontstyle01">
    <w:name w:val="fontstyle01"/>
    <w:basedOn w:val="Carpredefinitoparagrafo"/>
    <w:rsid w:val="00F54298"/>
    <w:rPr>
      <w:rFonts w:ascii="Barlow-ExtraBoldItalic" w:hAnsi="Barlow-ExtraBoldItalic" w:hint="default"/>
      <w:b/>
      <w:bCs/>
      <w:i/>
      <w:iCs/>
      <w:color w:val="AB58A2"/>
      <w:sz w:val="26"/>
      <w:szCs w:val="26"/>
    </w:rPr>
  </w:style>
  <w:style w:type="character" w:customStyle="1" w:styleId="fontstyle21">
    <w:name w:val="fontstyle21"/>
    <w:basedOn w:val="Carpredefinitoparagrafo"/>
    <w:rsid w:val="00F54298"/>
    <w:rPr>
      <w:rFonts w:ascii="Barlow-MediumItalic" w:hAnsi="Barlow-MediumItalic" w:hint="default"/>
      <w:b w:val="0"/>
      <w:bCs w:val="0"/>
      <w:i/>
      <w:iCs/>
      <w:color w:val="242021"/>
      <w:sz w:val="26"/>
      <w:szCs w:val="2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6A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6A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7ABF"/>
    <w:rPr>
      <w:rFonts w:ascii="Times New Roman" w:hAnsi="Times New Roman"/>
      <w:sz w:val="24"/>
    </w:rPr>
  </w:style>
  <w:style w:type="paragraph" w:styleId="Titolo1">
    <w:name w:val="heading 1"/>
    <w:basedOn w:val="Normale"/>
    <w:next w:val="Normale"/>
    <w:link w:val="Titolo1Carattere"/>
    <w:autoRedefine/>
    <w:uiPriority w:val="9"/>
    <w:qFormat/>
    <w:rsid w:val="00DD0581"/>
    <w:pPr>
      <w:keepNext/>
      <w:keepLines/>
      <w:spacing w:after="0" w:line="240" w:lineRule="auto"/>
      <w:jc w:val="center"/>
      <w:outlineLvl w:val="0"/>
    </w:pPr>
    <w:rPr>
      <w:rFonts w:asciiTheme="minorHAnsi" w:eastAsiaTheme="majorEastAsia" w:hAnsiTheme="minorHAnsi" w:cstheme="minorHAnsi"/>
      <w:b/>
      <w:color w:val="000000" w:themeColor="text1"/>
      <w:sz w:val="28"/>
      <w:szCs w:val="24"/>
    </w:rPr>
  </w:style>
  <w:style w:type="paragraph" w:styleId="Titolo2">
    <w:name w:val="heading 2"/>
    <w:basedOn w:val="Normale"/>
    <w:next w:val="Normale"/>
    <w:link w:val="Titolo2Carattere"/>
    <w:autoRedefine/>
    <w:uiPriority w:val="9"/>
    <w:unhideWhenUsed/>
    <w:qFormat/>
    <w:rsid w:val="00D145E2"/>
    <w:pPr>
      <w:keepNext/>
      <w:keepLines/>
      <w:spacing w:before="40" w:after="0"/>
      <w:jc w:val="center"/>
      <w:outlineLvl w:val="1"/>
    </w:pPr>
    <w:rPr>
      <w:rFonts w:eastAsiaTheme="majorEastAsia" w:cstheme="majorBidi"/>
      <w:b/>
      <w:sz w:val="26"/>
      <w:szCs w:val="26"/>
    </w:rPr>
  </w:style>
  <w:style w:type="paragraph" w:styleId="Titolo3">
    <w:name w:val="heading 3"/>
    <w:basedOn w:val="Normale"/>
    <w:next w:val="Normale"/>
    <w:link w:val="Titolo3Carattere"/>
    <w:autoRedefine/>
    <w:uiPriority w:val="9"/>
    <w:unhideWhenUsed/>
    <w:qFormat/>
    <w:rsid w:val="002D5553"/>
    <w:pPr>
      <w:keepNext/>
      <w:keepLines/>
      <w:spacing w:before="40" w:after="0"/>
      <w:outlineLvl w:val="2"/>
    </w:pPr>
    <w:rPr>
      <w:rFonts w:eastAsiaTheme="majorEastAsia" w:cstheme="majorBidi"/>
      <w:b/>
      <w:color w:val="1F3763" w:themeColor="accent1" w:themeShade="7F"/>
      <w:sz w:val="28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D0581"/>
    <w:rPr>
      <w:rFonts w:eastAsiaTheme="majorEastAsia" w:cstheme="minorHAnsi"/>
      <w:b/>
      <w:color w:val="000000" w:themeColor="text1"/>
      <w:sz w:val="28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rsid w:val="002D5553"/>
    <w:rPr>
      <w:rFonts w:ascii="Times New Roman" w:eastAsiaTheme="majorEastAsia" w:hAnsi="Times New Roman" w:cstheme="majorBidi"/>
      <w:b/>
      <w:color w:val="1F3763" w:themeColor="accent1" w:themeShade="7F"/>
      <w:sz w:val="28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145E2"/>
    <w:rPr>
      <w:rFonts w:ascii="Times New Roman" w:eastAsiaTheme="majorEastAsia" w:hAnsi="Times New Roman" w:cstheme="majorBidi"/>
      <w:b/>
      <w:sz w:val="26"/>
      <w:szCs w:val="26"/>
    </w:rPr>
  </w:style>
  <w:style w:type="character" w:styleId="Collegamentoipertestuale">
    <w:name w:val="Hyperlink"/>
    <w:basedOn w:val="Carpredefinitoparagrafo"/>
    <w:uiPriority w:val="99"/>
    <w:unhideWhenUsed/>
    <w:rsid w:val="00D878FE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878FE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050A5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50A5D"/>
    <w:rPr>
      <w:rFonts w:ascii="Times New Roman" w:hAnsi="Times New Roman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050A5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50A5D"/>
    <w:rPr>
      <w:rFonts w:ascii="Times New Roman" w:hAnsi="Times New Roman"/>
      <w:sz w:val="24"/>
    </w:rPr>
  </w:style>
  <w:style w:type="paragraph" w:customStyle="1" w:styleId="Pa5">
    <w:name w:val="Pa5"/>
    <w:basedOn w:val="Normale"/>
    <w:next w:val="Normale"/>
    <w:uiPriority w:val="99"/>
    <w:rsid w:val="00E47433"/>
    <w:pPr>
      <w:autoSpaceDE w:val="0"/>
      <w:autoSpaceDN w:val="0"/>
      <w:adjustRightInd w:val="0"/>
      <w:spacing w:after="0" w:line="221" w:lineRule="atLeast"/>
    </w:pPr>
    <w:rPr>
      <w:rFonts w:ascii="HelveticaNeueLT Std Lt" w:hAnsi="HelveticaNeueLT Std Lt"/>
      <w:szCs w:val="24"/>
    </w:rPr>
  </w:style>
  <w:style w:type="paragraph" w:styleId="Paragrafoelenco">
    <w:name w:val="List Paragraph"/>
    <w:basedOn w:val="Normale"/>
    <w:uiPriority w:val="34"/>
    <w:qFormat/>
    <w:rsid w:val="00E416E1"/>
    <w:pPr>
      <w:spacing w:line="254" w:lineRule="auto"/>
      <w:ind w:left="720"/>
      <w:contextualSpacing/>
    </w:pPr>
  </w:style>
  <w:style w:type="character" w:customStyle="1" w:styleId="A3">
    <w:name w:val="A3"/>
    <w:uiPriority w:val="99"/>
    <w:rsid w:val="00E416E1"/>
    <w:rPr>
      <w:rFonts w:ascii="HelveticaNeueLT Std Cn" w:hAnsi="HelveticaNeueLT Std Cn" w:cs="HelveticaNeueLT Std Cn" w:hint="default"/>
      <w:b/>
      <w:bCs/>
      <w:color w:val="000000"/>
      <w:sz w:val="30"/>
      <w:szCs w:val="3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04F31"/>
    <w:rPr>
      <w:color w:val="954F72" w:themeColor="followed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B04F3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B04F3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B04F31"/>
    <w:rPr>
      <w:rFonts w:ascii="Times New Roman" w:hAnsi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04F3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04F31"/>
    <w:rPr>
      <w:rFonts w:ascii="Times New Roman" w:hAnsi="Times New Roman"/>
      <w:b/>
      <w:bCs/>
      <w:sz w:val="20"/>
      <w:szCs w:val="20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884C1B"/>
    <w:rPr>
      <w:color w:val="605E5C"/>
      <w:shd w:val="clear" w:color="auto" w:fill="E1DFDD"/>
    </w:rPr>
  </w:style>
  <w:style w:type="character" w:customStyle="1" w:styleId="fontstyle01">
    <w:name w:val="fontstyle01"/>
    <w:basedOn w:val="Carpredefinitoparagrafo"/>
    <w:rsid w:val="00F54298"/>
    <w:rPr>
      <w:rFonts w:ascii="Barlow-ExtraBoldItalic" w:hAnsi="Barlow-ExtraBoldItalic" w:hint="default"/>
      <w:b/>
      <w:bCs/>
      <w:i/>
      <w:iCs/>
      <w:color w:val="AB58A2"/>
      <w:sz w:val="26"/>
      <w:szCs w:val="26"/>
    </w:rPr>
  </w:style>
  <w:style w:type="character" w:customStyle="1" w:styleId="fontstyle21">
    <w:name w:val="fontstyle21"/>
    <w:basedOn w:val="Carpredefinitoparagrafo"/>
    <w:rsid w:val="00F54298"/>
    <w:rPr>
      <w:rFonts w:ascii="Barlow-MediumItalic" w:hAnsi="Barlow-MediumItalic" w:hint="default"/>
      <w:b w:val="0"/>
      <w:bCs w:val="0"/>
      <w:i/>
      <w:iCs/>
      <w:color w:val="242021"/>
      <w:sz w:val="26"/>
      <w:szCs w:val="2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6A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6A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4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3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948859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47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73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22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154073">
              <w:marLeft w:val="0"/>
              <w:marRight w:val="0"/>
              <w:marTop w:val="0"/>
              <w:marBottom w:val="7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24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5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827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41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290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26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099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8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87444">
                              <w:marLeft w:val="0"/>
                              <w:marRight w:val="0"/>
                              <w:marTop w:val="0"/>
                              <w:marBottom w:val="4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24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legambiente.it/wp-content/uploads/2021/11/malAria-2022_speciale-autunno.pdf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italy.cleancitiescampaign.org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taly.cleancitiescampaign.org/secondo-uno-studio-di-clean-cities-in-europa-crescono-le-zone-a-basse-emissioni-ma-litalia-fa-eccezione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italy.cleancitiescampaign.org/secondo-uno-studio-di-clean-cities-in-europa-crescono-le-zone-a-basse-emissioni-ma-litalia-fa-eccezione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legambiente.it/wp-content/uploads/2021/11/malAria-2022_speciale-autunno.pdf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515848-267B-48D4-9581-6CDC3F79A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1167</Words>
  <Characters>6652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 Aliprandi</dc:creator>
  <cp:lastModifiedBy>Giorgio</cp:lastModifiedBy>
  <cp:revision>2</cp:revision>
  <dcterms:created xsi:type="dcterms:W3CDTF">2022-11-04T08:51:00Z</dcterms:created>
  <dcterms:modified xsi:type="dcterms:W3CDTF">2022-11-04T08:51:00Z</dcterms:modified>
</cp:coreProperties>
</file>